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28"/>
          <w:szCs w:val="28"/>
          <w:highlight w:val="none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筑梦新未来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highlight w:val="none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| 中建八局总承包公司2023届秋季校园招聘开始啦！</w:t>
      </w:r>
    </w:p>
    <w:p>
      <w:pPr>
        <w:jc w:val="center"/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1456055</wp:posOffset>
            </wp:positionH>
            <wp:positionV relativeFrom="paragraph">
              <wp:posOffset>38100</wp:posOffset>
            </wp:positionV>
            <wp:extent cx="2396490" cy="1088390"/>
            <wp:effectExtent l="0" t="0" r="0" b="0"/>
            <wp:wrapNone/>
            <wp:docPr id="5" name="图片 5" descr="总承包校招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总承包校招logo"/>
                    <pic:cNvPicPr>
                      <a:picLocks noChangeAspect="1"/>
                    </pic:cNvPicPr>
                  </pic:nvPicPr>
                  <pic:blipFill>
                    <a:blip r:embed="rId4"/>
                    <a:srcRect t="23222" b="31373"/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</w:pPr>
    </w:p>
    <w:p>
      <w:pPr>
        <w:jc w:val="center"/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</w:pPr>
    </w:p>
    <w:p>
      <w:pPr>
        <w:jc w:val="center"/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</w:pPr>
    </w:p>
    <w:p>
      <w:pPr>
        <w:jc w:val="center"/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</w:pPr>
    </w:p>
    <w:p>
      <w:pPr>
        <w:jc w:val="center"/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jc w:val="center"/>
        <w:rPr>
          <w:rFonts w:hint="eastAsia" w:ascii="华文中宋" w:hAnsi="华文中宋" w:eastAsia="华文中宋" w:cs="华文中宋"/>
          <w:sz w:val="24"/>
          <w:szCs w:val="24"/>
          <w:highlight w:val="none"/>
          <w:shd w:val="clear" w:color="auto" w:fill="auto"/>
          <w:lang w:val="en-US" w:eastAsia="zh-CN"/>
          <w14:shadow w14:blurRad="0" w14:dist="0" w14:dir="0" w14:sx="0" w14:sy="0" w14:kx="0" w14:ky="0" w14:algn="none">
            <w14:srgbClr w14:val="000000"/>
          </w14:shadow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 w:ascii="华文中宋" w:hAnsi="华文中宋" w:eastAsia="华文中宋" w:cs="华文中宋"/>
          <w:sz w:val="24"/>
          <w:szCs w:val="24"/>
          <w:highlight w:val="none"/>
          <w:shd w:val="clear" w:color="auto" w:fill="auto"/>
          <w:lang w:val="en-US" w:eastAsia="zh-CN"/>
          <w14:shadow w14:blurRad="0" w14:dist="0" w14:dir="0" w14:sx="0" w14:sy="0" w14:kx="0" w14:ky="0" w14:algn="none">
            <w14:srgbClr w14:val="000000"/>
          </w14:shadow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中建八局总承包公司2023届秋季校园招聘正式启动！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jc w:val="center"/>
        <w:rPr>
          <w:rFonts w:hint="eastAsia" w:ascii="华文中宋" w:hAnsi="华文中宋" w:eastAsia="华文中宋" w:cs="华文中宋"/>
          <w:sz w:val="24"/>
          <w:szCs w:val="24"/>
          <w:highlight w:val="none"/>
          <w:shd w:val="clear" w:color="auto" w:fill="auto"/>
          <w:lang w:val="en-US" w:eastAsia="zh-CN"/>
          <w14:shadow w14:blurRad="0" w14:dist="0" w14:dir="0" w14:sx="0" w14:sy="0" w14:kx="0" w14:ky="0" w14:algn="none">
            <w14:srgbClr w14:val="000000"/>
          </w14:shadow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 w:ascii="华文中宋" w:hAnsi="华文中宋" w:eastAsia="华文中宋" w:cs="华文中宋"/>
          <w:sz w:val="24"/>
          <w:szCs w:val="24"/>
          <w:highlight w:val="none"/>
          <w:shd w:val="clear" w:color="auto" w:fill="auto"/>
          <w:lang w:val="en-US" w:eastAsia="zh-CN"/>
          <w14:shadow w14:blurRad="0" w14:dist="0" w14:dir="0" w14:sx="0" w14:sy="0" w14:kx="0" w14:ky="0" w14:algn="none">
            <w14:srgbClr w14:val="000000"/>
          </w14:shadow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让我们在追求高、精、尖的征途中一往无前，在拓展幸福空间的道路上恣意飞扬。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jc w:val="center"/>
        <w:rPr>
          <w:rFonts w:hint="default" w:ascii="华文中宋" w:hAnsi="华文中宋" w:eastAsia="华文中宋" w:cs="华文中宋"/>
          <w:sz w:val="24"/>
          <w:szCs w:val="24"/>
          <w:highlight w:val="none"/>
          <w:shd w:val="clear" w:color="auto" w:fill="auto"/>
          <w:lang w:val="en-US" w:eastAsia="zh-CN"/>
          <w14:shadow w14:blurRad="0" w14:dist="0" w14:dir="0" w14:sx="0" w14:sy="0" w14:kx="0" w14:ky="0" w14:algn="none">
            <w14:srgbClr w14:val="000000"/>
          </w14:shadow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 w:ascii="华文中宋" w:hAnsi="华文中宋" w:eastAsia="华文中宋" w:cs="华文中宋"/>
          <w:sz w:val="24"/>
          <w:szCs w:val="24"/>
          <w:highlight w:val="none"/>
          <w:shd w:val="clear" w:color="auto" w:fill="auto"/>
          <w:lang w:val="en-US" w:eastAsia="zh-CN"/>
          <w14:shadow w14:blurRad="0" w14:dist="0" w14:dir="0" w14:sx="0" w14:sy="0" w14:kx="0" w14:ky="0" w14:algn="none">
            <w14:srgbClr w14:val="000000"/>
          </w14:shadow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加入总承包，和我们一起凝聚热爱，创筑未来的无限可能！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公司简介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sz w:val="22"/>
          <w:szCs w:val="22"/>
          <w:highlight w:val="none"/>
          <w:shd w:val="clear" w:color="auto" w:fill="auto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  <w:highlight w:val="none"/>
          <w:shd w:val="clear" w:color="auto" w:fill="auto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实力雄厚！</w:t>
      </w:r>
    </w:p>
    <w:p>
      <w:pPr>
        <w:numPr>
          <w:ilvl w:val="0"/>
          <w:numId w:val="0"/>
        </w:numPr>
        <w:ind w:leftChars="0" w:firstLine="440" w:firstLineChars="200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世界500强第9位中国建筑集团直营公司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highlight w:val="none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NO.1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i w:val="0"/>
          <w:iCs w:val="0"/>
          <w:sz w:val="22"/>
          <w:szCs w:val="22"/>
          <w:highlight w:val="none"/>
          <w:u w:val="none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2"/>
          <w:szCs w:val="22"/>
          <w:highlight w:val="none"/>
          <w:u w:val="none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人才济济！</w:t>
      </w:r>
    </w:p>
    <w:p>
      <w:pPr>
        <w:numPr>
          <w:ilvl w:val="0"/>
          <w:numId w:val="0"/>
        </w:numPr>
        <w:ind w:left="437" w:leftChars="208" w:firstLine="0" w:firstLineChars="0"/>
        <w:rPr>
          <w:rFonts w:hint="default" w:ascii="微软雅黑" w:hAnsi="微软雅黑" w:eastAsia="微软雅黑" w:cs="微软雅黑"/>
          <w:sz w:val="22"/>
          <w:szCs w:val="22"/>
          <w:highlight w:val="none"/>
          <w:lang w:val="en-US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总部设于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highlight w:val="none"/>
        </w:rPr>
        <w:t>上海浦东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现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有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职工</w:t>
      </w: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2"/>
          <w:szCs w:val="22"/>
          <w:highlight w:val="none"/>
          <w:lang w:val="en-US" w:eastAsia="zh-CN"/>
        </w:rPr>
        <w:t>4900</w:t>
      </w: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2"/>
          <w:szCs w:val="22"/>
          <w:highlight w:val="none"/>
        </w:rPr>
        <w:t>余人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下设</w:t>
      </w: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2"/>
          <w:szCs w:val="22"/>
          <w:highlight w:val="none"/>
        </w:rPr>
        <w:t>11个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分公司</w:t>
      </w: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2"/>
          <w:szCs w:val="22"/>
          <w:highlight w:val="none"/>
          <w:lang w:val="en-US" w:eastAsia="zh-CN"/>
        </w:rPr>
        <w:t>4个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事业部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经营范围囊括上海、江苏、浙江、北京、河北、福建、江西、安徽、湖北、新疆、海外等。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sz w:val="22"/>
          <w:szCs w:val="22"/>
          <w:highlight w:val="none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  <w:highlight w:val="none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荣誉繁多！</w:t>
      </w:r>
    </w:p>
    <w:p>
      <w:pPr>
        <w:numPr>
          <w:ilvl w:val="0"/>
          <w:numId w:val="0"/>
        </w:numPr>
        <w:ind w:left="437" w:leftChars="208" w:firstLine="0" w:firstLineChars="0"/>
        <w:rPr>
          <w:rFonts w:hint="default" w:ascii="微软雅黑" w:hAnsi="微软雅黑" w:eastAsia="微软雅黑" w:cs="微软雅黑"/>
          <w:b w:val="0"/>
          <w:bCs w:val="0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公司获评第六届</w:t>
      </w: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2"/>
          <w:szCs w:val="22"/>
          <w:highlight w:val="none"/>
          <w:lang w:val="en-US" w:eastAsia="zh-CN"/>
        </w:rPr>
        <w:t>全国文明单位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，多次获得</w:t>
      </w: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2"/>
          <w:szCs w:val="22"/>
          <w:highlight w:val="none"/>
          <w:lang w:val="en-US" w:eastAsia="zh-CN"/>
        </w:rPr>
        <w:t>鲁班奖、詹天佑奖、国家优质工程、国家级工法、国家科技进步“一等奖”、中国建筑先进单位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等多项殊荣！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sz w:val="22"/>
          <w:szCs w:val="22"/>
          <w:highlight w:val="none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  <w:highlight w:val="none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业务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highlight w:val="none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广泛！</w:t>
      </w:r>
    </w:p>
    <w:p>
      <w:pPr>
        <w:numPr>
          <w:ilvl w:val="0"/>
          <w:numId w:val="0"/>
        </w:numPr>
        <w:ind w:left="437" w:leftChars="208" w:firstLine="0" w:firstLineChars="0"/>
        <w:rPr>
          <w:rFonts w:hint="eastAsia" w:ascii="微软雅黑" w:hAnsi="微软雅黑" w:eastAsia="微软雅黑" w:cs="微软雅黑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超高层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深基坑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钢结构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基础设施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投资运营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设备安装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文化旅游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建筑设计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EPC、PPP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等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多领域具有</w:t>
      </w:r>
      <w:r>
        <w:rPr>
          <w:rFonts w:hint="eastAsia" w:ascii="微软雅黑" w:hAnsi="微软雅黑" w:eastAsia="微软雅黑" w:cs="微软雅黑"/>
          <w:b/>
          <w:bCs/>
          <w:color w:val="0070C0"/>
          <w:sz w:val="22"/>
          <w:szCs w:val="22"/>
          <w:highlight w:val="none"/>
          <w:lang w:val="en-US" w:eastAsia="zh-CN"/>
        </w:rPr>
        <w:t>核心竞争力！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二、代表项目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浙江省重点建设项目——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highlight w:val="none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杭州萧山国际机场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全球第一大会展综合体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——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highlight w:val="none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国家会展中心（上海）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世界人工坑内海拔最低的酒店——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highlight w:val="none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上海世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highlight w:val="none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茂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highlight w:val="none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深坑酒店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2022年亚运会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主馆区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——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highlight w:val="none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杭州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highlight w:val="none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亚运三馆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中国第一双子塔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eastAsia="zh-CN"/>
        </w:rPr>
        <w:t>——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highlight w:val="none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厦门世茂海峡大厦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金砖国家峰会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主场馆——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highlight w:val="none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厦门</w:t>
      </w:r>
      <w:r>
        <w:rPr>
          <w:rFonts w:hint="default" w:ascii="微软雅黑" w:hAnsi="微软雅黑" w:eastAsia="微软雅黑" w:cs="微软雅黑"/>
          <w:b/>
          <w:bCs/>
          <w:sz w:val="22"/>
          <w:szCs w:val="22"/>
          <w:highlight w:val="none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国际会议中心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释迦牟尼佛顶舍利永久安奉地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——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highlight w:val="none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南京牛首胜景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sz w:val="22"/>
          <w:szCs w:val="22"/>
          <w:highlight w:val="none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第十一届江苏省园艺博览会主场馆——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highlight w:val="none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江苏省园博园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sz w:val="22"/>
          <w:szCs w:val="22"/>
          <w:highlight w:val="none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highlight w:val="none"/>
          <w:lang w:val="en-US" w:eastAsia="zh-CN"/>
        </w:rPr>
        <w:t>中国大陆首座迪士尼主题乐园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eastAsia="zh-CN"/>
        </w:rPr>
        <w:t>——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highlight w:val="none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上海迪士尼乐园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“G20”峰会主场馆——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highlight w:val="none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杭州国际博览中心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中国文旅小镇新典范——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highlight w:val="none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南京牛首山金陵小镇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福建省最大地下空间项目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eastAsia="zh-CN"/>
        </w:rPr>
        <w:t>——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highlight w:val="none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福州滨海新城CBD项目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sz w:val="22"/>
          <w:szCs w:val="22"/>
          <w:highlight w:val="none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highlight w:val="none"/>
          <w:lang w:val="en-US" w:eastAsia="zh-CN"/>
        </w:rPr>
        <w:t>国际顶级会议综合体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eastAsia="zh-CN"/>
        </w:rPr>
        <w:t>——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highlight w:val="none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宁波国际会议中心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三、工作地点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br w:type="textWrapping"/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00B0F0"/>
          <w:sz w:val="22"/>
          <w:szCs w:val="22"/>
          <w:highlight w:val="none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国内</w:t>
      </w:r>
      <w:r>
        <w:rPr>
          <w:rFonts w:hint="eastAsia" w:ascii="微软雅黑" w:hAnsi="微软雅黑" w:eastAsia="微软雅黑" w:cs="微软雅黑"/>
          <w:b/>
          <w:bCs/>
          <w:color w:val="00B0F0"/>
          <w:sz w:val="22"/>
          <w:szCs w:val="22"/>
          <w:highlight w:val="none"/>
          <w:lang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：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上海、江苏、浙江、福建、北京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河北、江西、安徽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湖北、新疆</w:t>
      </w:r>
    </w:p>
    <w:p>
      <w:pPr>
        <w:numPr>
          <w:ilvl w:val="0"/>
          <w:numId w:val="0"/>
        </w:numPr>
        <w:ind w:firstLine="220" w:firstLineChars="100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2"/>
          <w:szCs w:val="22"/>
          <w:highlight w:val="none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海外：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泰国、马来西亚、埃及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越南、柬埔寨、阿尔及利亚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四、薪酬福利&amp;成长体系</w:t>
      </w:r>
    </w:p>
    <w:p>
      <w:pPr>
        <w:rPr>
          <w:rFonts w:hint="eastAsia" w:ascii="微软雅黑" w:hAnsi="微软雅黑" w:eastAsia="微软雅黑" w:cs="微软雅黑"/>
          <w:b/>
          <w:bCs/>
          <w:color w:val="00B0F0"/>
          <w:sz w:val="22"/>
          <w:szCs w:val="22"/>
          <w:highlight w:val="none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2"/>
          <w:szCs w:val="22"/>
          <w:highlight w:val="none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丰厚的收入！</w:t>
      </w:r>
    </w:p>
    <w:p>
      <w:pPr>
        <w:ind w:firstLine="440" w:firstLineChars="200"/>
        <w:rPr>
          <w:rFonts w:hint="eastAsia" w:ascii="微软雅黑" w:hAnsi="微软雅黑" w:eastAsia="微软雅黑" w:cs="微软雅黑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岗位工资、绩效工资、工龄工资、年度绩效奖金、项目兑现奖金等</w:t>
      </w:r>
    </w:p>
    <w:p>
      <w:pPr>
        <w:rPr>
          <w:rFonts w:hint="eastAsia" w:ascii="微软雅黑" w:hAnsi="微软雅黑" w:eastAsia="微软雅黑" w:cs="微软雅黑"/>
          <w:b/>
          <w:bCs/>
          <w:color w:val="00B0F0"/>
          <w:sz w:val="22"/>
          <w:szCs w:val="22"/>
          <w:highlight w:val="none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2"/>
          <w:szCs w:val="22"/>
          <w:highlight w:val="none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多样的补贴！</w:t>
      </w:r>
    </w:p>
    <w:p>
      <w:pPr>
        <w:ind w:firstLine="440" w:firstLineChars="200"/>
        <w:rPr>
          <w:rFonts w:hint="eastAsia" w:ascii="微软雅黑" w:hAnsi="微软雅黑" w:eastAsia="微软雅黑" w:cs="微软雅黑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免费食宿、交通补贴、通讯补贴、工作餐补、办公补贴、远征补贴、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住房补贴、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调动补贴、防暑降温补贴、执业资格补贴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岗位兼职补贴、专业职级能级补贴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等</w:t>
      </w:r>
    </w:p>
    <w:p>
      <w:pPr>
        <w:rPr>
          <w:rFonts w:hint="eastAsia" w:ascii="微软雅黑" w:hAnsi="微软雅黑" w:eastAsia="微软雅黑" w:cs="微软雅黑"/>
          <w:b/>
          <w:bCs/>
          <w:color w:val="00B0F0"/>
          <w:sz w:val="22"/>
          <w:szCs w:val="22"/>
          <w:highlight w:val="none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2"/>
          <w:szCs w:val="22"/>
          <w:highlight w:val="none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全面的保障！</w:t>
      </w:r>
    </w:p>
    <w:p>
      <w:pPr>
        <w:ind w:firstLine="440" w:firstLineChars="200"/>
        <w:rPr>
          <w:rFonts w:hint="eastAsia" w:ascii="微软雅黑" w:hAnsi="微软雅黑" w:eastAsia="微软雅黑" w:cs="微软雅黑"/>
          <w:b/>
          <w:bCs/>
          <w:color w:val="00B0F0"/>
          <w:sz w:val="22"/>
          <w:szCs w:val="22"/>
          <w:highlight w:val="none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  <w:highlight w:val="none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六险三金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（购买商业保险、基本+补充公积金、企业年金）以及灵活办理上海、北京、南京、杭州、济南等各大城市社保（满足条件者可协助办理落户：上海市、南京市）</w:t>
      </w:r>
    </w:p>
    <w:p>
      <w:pPr>
        <w:rPr>
          <w:rFonts w:hint="eastAsia" w:ascii="微软雅黑" w:hAnsi="微软雅黑" w:eastAsia="微软雅黑" w:cs="微软雅黑"/>
          <w:b/>
          <w:bCs/>
          <w:color w:val="00B0F0"/>
          <w:sz w:val="22"/>
          <w:szCs w:val="22"/>
          <w:highlight w:val="none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2"/>
          <w:szCs w:val="22"/>
          <w:highlight w:val="none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超多的福利！</w:t>
      </w:r>
    </w:p>
    <w:p>
      <w:pPr>
        <w:ind w:firstLine="440" w:firstLineChars="200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超长带薪年假、探亲假、婚假、产假、病假等制度、生日福利、过节福利、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工会福利、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健康体检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入职大礼包……</w:t>
      </w:r>
    </w:p>
    <w:p>
      <w:pPr>
        <w:rPr>
          <w:rFonts w:hint="eastAsia" w:ascii="微软雅黑" w:hAnsi="微软雅黑" w:eastAsia="微软雅黑" w:cs="微软雅黑"/>
          <w:sz w:val="22"/>
          <w:szCs w:val="22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2"/>
          <w:szCs w:val="22"/>
          <w:highlight w:val="none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完备的培训与人才培养体系！</w:t>
      </w:r>
    </w:p>
    <w:p>
      <w:pPr>
        <w:numPr>
          <w:ilvl w:val="0"/>
          <w:numId w:val="3"/>
        </w:numPr>
        <w:ind w:firstLine="220" w:firstLineChars="10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“砼心”见习生培训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2"/>
          <w:szCs w:val="22"/>
        </w:rPr>
        <w:t>砼行”青年骨干培训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2"/>
          <w:szCs w:val="22"/>
        </w:rPr>
        <w:t>“砼知”项目铁三角培训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2"/>
          <w:szCs w:val="22"/>
        </w:rPr>
        <w:t>“砼思”后备干部培训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2"/>
          <w:szCs w:val="22"/>
        </w:rPr>
        <w:t>“砼飞”中高层领导培训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。</w:t>
      </w:r>
    </w:p>
    <w:p>
      <w:pPr>
        <w:numPr>
          <w:ilvl w:val="0"/>
          <w:numId w:val="3"/>
        </w:numPr>
        <w:ind w:firstLine="220" w:firstLineChars="100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第一年导师带徒入职场，2-3年职业定位工程师，3-4年成为主管级青年骨干，4-6年成为项目副经理，6-10年成为独当一面的项目经理。</w:t>
      </w:r>
    </w:p>
    <w:p>
      <w:pPr>
        <w:numPr>
          <w:ilvl w:val="0"/>
          <w:numId w:val="3"/>
        </w:numPr>
        <w:ind w:firstLine="220" w:firstLineChars="10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我们还有专门针对年轻人的“筑砼计划”发展快车道，助你迅速完成从学生到职业人的转变，在成为建筑领域专业人才的道路上一往无前！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br w:type="textWrapping"/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五、需求专业</w:t>
      </w:r>
    </w:p>
    <w:p>
      <w:pP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2"/>
          <w:szCs w:val="22"/>
          <w:highlight w:val="none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房屋建筑类：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土木工程、工程管理、工程造价、给排水工程、电气工程及其自动化、建筑环境与能源运用工程、机械工程、安全工程、测绘工程、材料工程、建筑学等；</w:t>
      </w:r>
    </w:p>
    <w:p>
      <w:pP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2"/>
          <w:szCs w:val="22"/>
          <w:highlight w:val="none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基础设施类：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桥梁与隧道工程、交通土建工程、土木工程（交通道桥方向）、隧道与地下工程、市政工程等；</w:t>
      </w:r>
    </w:p>
    <w:p>
      <w:pP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2"/>
          <w:szCs w:val="22"/>
          <w:highlight w:val="none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运营支持类：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市场营销、国际经济与贸易、投融资、工商管理、文化产业管理、旅游管理等；</w:t>
      </w:r>
    </w:p>
    <w:p>
      <w:pP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2"/>
          <w:szCs w:val="22"/>
          <w:highlight w:val="none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建筑设计类：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园林设计、园艺、风景园林、环境设计、艺术设计（室内方向）等；</w:t>
      </w:r>
    </w:p>
    <w:p>
      <w:pP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2"/>
          <w:szCs w:val="22"/>
          <w:highlight w:val="none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综合管理类：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人力资源管理、企业管理、行政管理、信息管理与信息系统、信息安全、计算机科学与技术、财务管理、会计学、审计学、中文学、新闻学、汉语言文学、社会学、政治学与行政学、思想政治教育等；</w:t>
      </w:r>
    </w:p>
    <w:p>
      <w:pP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六、简历投递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线上简历投递链接：</w:t>
      </w:r>
      <w:r>
        <w:rPr>
          <w:rStyle w:val="8"/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https://job.cscec8b.com.cn/8bzcb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七、招聘要求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highlight w:val="none"/>
          <w:lang w:val="en-US" w:eastAsia="zh-CN"/>
        </w:rPr>
        <w:t>全日制本科及以上学历，通过英语四级及中建测评。（党员优先）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bCs w:val="0"/>
          <w:sz w:val="22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八、联系方式</w:t>
      </w:r>
    </w:p>
    <w:p>
      <w:pPr>
        <w:rPr>
          <w:rFonts w:hint="eastAsia" w:ascii="微软雅黑" w:hAnsi="微软雅黑" w:eastAsia="微软雅黑" w:cs="微软雅黑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联系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地址：上海市浦东新区罗山路4088弄8号</w:t>
      </w:r>
    </w:p>
    <w:p>
      <w:pPr>
        <w:rPr>
          <w:rFonts w:hint="default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招聘联系人：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张经理</w:t>
      </w:r>
    </w:p>
    <w:p>
      <w:pPr>
        <w:rPr>
          <w:rFonts w:hint="default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联系电话：021-80299594</w:t>
      </w:r>
    </w:p>
    <w:p>
      <w:pP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联系邮箱：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instrText xml:space="preserve"> HYPERLINK "mailto:zjbjzcbzp@cscec.com" </w:instrTex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zjbjzcbzp@cscec.com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fldChar w:fldCharType="end"/>
      </w:r>
    </w:p>
    <w:p>
      <w:pPr>
        <w:rPr>
          <w:rFonts w:hint="default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咨询QQ群：576611356</w:t>
      </w:r>
    </w:p>
    <w:p>
      <w:pPr>
        <w:rPr>
          <w:rFonts w:hint="eastAsia" w:ascii="微软雅黑" w:hAnsi="微软雅黑" w:eastAsia="微软雅黑" w:cs="微软雅黑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1980565</wp:posOffset>
            </wp:positionH>
            <wp:positionV relativeFrom="paragraph">
              <wp:posOffset>313055</wp:posOffset>
            </wp:positionV>
            <wp:extent cx="1388745" cy="1301750"/>
            <wp:effectExtent l="0" t="0" r="1905" b="12700"/>
            <wp:wrapNone/>
            <wp:docPr id="7" name="图片 7" descr="总承包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总承包微信公众号"/>
                    <pic:cNvPicPr>
                      <a:picLocks noChangeAspect="1"/>
                    </pic:cNvPicPr>
                  </pic:nvPicPr>
                  <pic:blipFill>
                    <a:blip r:embed="rId5"/>
                    <a:srcRect b="6264"/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 中建八局总承包公司公众号</w:t>
      </w:r>
    </w:p>
    <w:p>
      <w:pPr>
        <w:jc w:val="center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亲爱的小伙伴们，加入八局总承包，我们一起筑梦新未来！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2832E6"/>
    <w:multiLevelType w:val="singleLevel"/>
    <w:tmpl w:val="B22832E6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A899C36"/>
    <w:multiLevelType w:val="singleLevel"/>
    <w:tmpl w:val="EA899C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87B812B"/>
    <w:multiLevelType w:val="singleLevel"/>
    <w:tmpl w:val="087B81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ZTJjZjc2MGM1ODZlOGJhYzlhYjM5Njk0ZjkxNzkifQ=="/>
  </w:docVars>
  <w:rsids>
    <w:rsidRoot w:val="797112C0"/>
    <w:rsid w:val="001810C5"/>
    <w:rsid w:val="00D875F8"/>
    <w:rsid w:val="023964D0"/>
    <w:rsid w:val="027D6933"/>
    <w:rsid w:val="027F1A77"/>
    <w:rsid w:val="0419147A"/>
    <w:rsid w:val="04C41DFB"/>
    <w:rsid w:val="05C3596F"/>
    <w:rsid w:val="06420162"/>
    <w:rsid w:val="06FB4D36"/>
    <w:rsid w:val="0E6C1BCC"/>
    <w:rsid w:val="0F2319C4"/>
    <w:rsid w:val="10805BF8"/>
    <w:rsid w:val="11BC3ECC"/>
    <w:rsid w:val="1393481F"/>
    <w:rsid w:val="13CC7E4F"/>
    <w:rsid w:val="149A30E6"/>
    <w:rsid w:val="194E09E4"/>
    <w:rsid w:val="19795C83"/>
    <w:rsid w:val="1A31525E"/>
    <w:rsid w:val="1BA72FE2"/>
    <w:rsid w:val="2041591B"/>
    <w:rsid w:val="20B63E28"/>
    <w:rsid w:val="22B25929"/>
    <w:rsid w:val="2566486C"/>
    <w:rsid w:val="262111FD"/>
    <w:rsid w:val="267E3FFC"/>
    <w:rsid w:val="2752508B"/>
    <w:rsid w:val="27F54410"/>
    <w:rsid w:val="28CA3FB3"/>
    <w:rsid w:val="296B77CD"/>
    <w:rsid w:val="2A6D5B77"/>
    <w:rsid w:val="2C6F3798"/>
    <w:rsid w:val="2DDB5891"/>
    <w:rsid w:val="2E154560"/>
    <w:rsid w:val="32F212EA"/>
    <w:rsid w:val="33E41D46"/>
    <w:rsid w:val="34136D08"/>
    <w:rsid w:val="34D8395B"/>
    <w:rsid w:val="383D4E66"/>
    <w:rsid w:val="3BDD2067"/>
    <w:rsid w:val="3C666DCD"/>
    <w:rsid w:val="3E362F85"/>
    <w:rsid w:val="3E7A6FDF"/>
    <w:rsid w:val="42CD3681"/>
    <w:rsid w:val="4A257F76"/>
    <w:rsid w:val="4A825CC8"/>
    <w:rsid w:val="4D0012FA"/>
    <w:rsid w:val="4D0F73B3"/>
    <w:rsid w:val="4D5546AC"/>
    <w:rsid w:val="4EA628F5"/>
    <w:rsid w:val="4FBF472C"/>
    <w:rsid w:val="508D1ED2"/>
    <w:rsid w:val="51404B1B"/>
    <w:rsid w:val="53337987"/>
    <w:rsid w:val="554418F4"/>
    <w:rsid w:val="55BD68EB"/>
    <w:rsid w:val="56F65657"/>
    <w:rsid w:val="59BF1338"/>
    <w:rsid w:val="5A880E31"/>
    <w:rsid w:val="5EAF2BA0"/>
    <w:rsid w:val="609A2F94"/>
    <w:rsid w:val="63B76151"/>
    <w:rsid w:val="640B3D34"/>
    <w:rsid w:val="659E2604"/>
    <w:rsid w:val="65B74AA6"/>
    <w:rsid w:val="67525FA7"/>
    <w:rsid w:val="68877E8B"/>
    <w:rsid w:val="68B73544"/>
    <w:rsid w:val="69135F0B"/>
    <w:rsid w:val="69CE7365"/>
    <w:rsid w:val="6A1803D9"/>
    <w:rsid w:val="6BD04855"/>
    <w:rsid w:val="6CBF11CD"/>
    <w:rsid w:val="6D601226"/>
    <w:rsid w:val="6D625C68"/>
    <w:rsid w:val="6D7F6E5C"/>
    <w:rsid w:val="6DAE6362"/>
    <w:rsid w:val="70B24292"/>
    <w:rsid w:val="71AF6935"/>
    <w:rsid w:val="7227202D"/>
    <w:rsid w:val="75A44008"/>
    <w:rsid w:val="765B4983"/>
    <w:rsid w:val="797112C0"/>
    <w:rsid w:val="79D0710C"/>
    <w:rsid w:val="7DC23271"/>
    <w:rsid w:val="7E5D4DAC"/>
    <w:rsid w:val="7F57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1492</Words>
  <Characters>1601</Characters>
  <Lines>0</Lines>
  <Paragraphs>0</Paragraphs>
  <TotalTime>462</TotalTime>
  <ScaleCrop>false</ScaleCrop>
  <LinksUpToDate>false</LinksUpToDate>
  <CharactersWithSpaces>1606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2020-08-17T02:04:00Z</dcterms:created>
  <dc:creator>ʚyolanɞ</dc:creator>
  <cp:lastModifiedBy>vivvi</cp:lastModifiedBy>
  <dcterms:modified xsi:type="dcterms:W3CDTF">2022-09-02T03:11:51Z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5E8DFEA5B2284AA7AD9205C774847C2D</vt:lpwstr>
  </property>
</Properties>
</file>