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黑体"/>
          <w:b/>
          <w:bCs/>
          <w:sz w:val="40"/>
          <w:szCs w:val="40"/>
        </w:rPr>
      </w:pPr>
      <w:bookmarkStart w:id="0" w:name="_GoBack"/>
      <w:bookmarkEnd w:id="0"/>
      <w:r>
        <w:rPr>
          <w:rFonts w:hint="eastAsia" w:ascii="黑体" w:hAnsi="黑体" w:eastAsia="黑体" w:cs="黑体"/>
          <w:b/>
          <w:bCs/>
          <w:sz w:val="40"/>
          <w:szCs w:val="40"/>
        </w:rPr>
        <w:t>中煤矿山建设集团有限责任公司</w:t>
      </w:r>
    </w:p>
    <w:p>
      <w:pPr>
        <w:spacing w:line="480" w:lineRule="exact"/>
        <w:jc w:val="center"/>
        <w:rPr>
          <w:rFonts w:hint="eastAsia" w:ascii="黑体" w:hAnsi="黑体" w:eastAsia="黑体" w:cs="黑体"/>
          <w:b/>
          <w:bCs/>
          <w:sz w:val="40"/>
          <w:szCs w:val="40"/>
        </w:rPr>
      </w:pPr>
      <w:r>
        <w:rPr>
          <w:rFonts w:hint="eastAsia" w:ascii="黑体" w:hAnsi="黑体" w:eastAsia="黑体" w:cs="黑体"/>
          <w:b/>
          <w:bCs/>
          <w:sz w:val="40"/>
          <w:szCs w:val="40"/>
        </w:rPr>
        <w:t>2021年校园招聘简章</w:t>
      </w:r>
    </w:p>
    <w:p>
      <w:pPr>
        <w:spacing w:line="500" w:lineRule="exact"/>
        <w:ind w:firstLine="437" w:firstLineChars="198"/>
        <w:rPr>
          <w:rFonts w:hint="eastAsia" w:ascii="黑体" w:hAnsi="黑体" w:eastAsia="黑体" w:cs="黑体"/>
          <w:b/>
          <w:color w:val="000000"/>
          <w:kern w:val="0"/>
          <w:sz w:val="22"/>
          <w:szCs w:val="22"/>
        </w:rPr>
      </w:pPr>
    </w:p>
    <w:p>
      <w:pPr>
        <w:spacing w:line="500" w:lineRule="exact"/>
        <w:ind w:firstLine="636" w:firstLineChars="198"/>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一、公司简介</w:t>
      </w:r>
    </w:p>
    <w:p>
      <w:pPr>
        <w:spacing w:line="360" w:lineRule="auto"/>
        <w:ind w:firstLine="440" w:firstLineChars="200"/>
        <w:rPr>
          <w:rFonts w:hint="eastAsia" w:ascii="黑体" w:hAnsi="黑体" w:eastAsia="黑体" w:cs="黑体"/>
          <w:color w:val="000000"/>
          <w:sz w:val="22"/>
          <w:szCs w:val="22"/>
        </w:rPr>
      </w:pPr>
      <w:r>
        <w:rPr>
          <w:rFonts w:hint="eastAsia" w:ascii="黑体" w:hAnsi="黑体" w:eastAsia="黑体" w:cs="黑体"/>
          <w:color w:val="000000"/>
          <w:kern w:val="0"/>
          <w:sz w:val="22"/>
          <w:szCs w:val="22"/>
        </w:rPr>
        <w:t>中煤矿山建设集团有限责任公司，是一家跨行业、多元化经营的大型企业集团，由中煤第三建设（集团）有限责任公司和中煤特殊凿井（集团）有限责任公司合并而成，主要从事各类矿山工程建设及其生产运营服务、建筑、机电、市政公用、公路、地铁、隧道、铁路等基础设施建设以及地产、园林绿化等，是我国矿山建设中的领军企业。</w:t>
      </w:r>
      <w:r>
        <w:rPr>
          <w:rFonts w:hint="eastAsia" w:ascii="黑体" w:hAnsi="黑体" w:eastAsia="黑体" w:cs="黑体"/>
          <w:color w:val="000000"/>
          <w:kern w:val="0"/>
          <w:sz w:val="22"/>
          <w:szCs w:val="22"/>
        </w:rPr>
        <w:br w:type="textWrapping"/>
      </w:r>
      <w:r>
        <w:rPr>
          <w:rFonts w:hint="eastAsia" w:ascii="黑体" w:hAnsi="黑体" w:eastAsia="黑体" w:cs="黑体"/>
          <w:color w:val="000000"/>
          <w:kern w:val="0"/>
          <w:sz w:val="22"/>
          <w:szCs w:val="22"/>
        </w:rPr>
        <w:t>  </w:t>
      </w:r>
      <w:r>
        <w:rPr>
          <w:rFonts w:hint="eastAsia" w:ascii="黑体" w:hAnsi="黑体" w:eastAsia="黑体" w:cs="黑体"/>
          <w:color w:val="000000"/>
          <w:sz w:val="22"/>
          <w:szCs w:val="22"/>
        </w:rPr>
        <w:t>集团总资产280亿元，年营业收入150亿元，在职职工13000人，专业技术人员3500余人，一、二级建造师900余人，设备14000台套，总价值30亿元。市场份额、综合实力、科研能力连续14年在中国矿山建设行业中遥遥领先,安徽省省属企业综合实力排名前10位。具有矿山工程施工、道桥工程施工总承包特级资质和房屋建筑、市政公用、机电安装一级总承包资质以及铁路、隧道、公路、公路路基、桥梁、钢结构、土石方等施工资质、具有进出口经营权。拥有国家认定技术中心、国家工程实验室和博士后科研工作站，通过了“三标一体”管理体系认证。</w:t>
      </w:r>
      <w:r>
        <w:rPr>
          <w:rFonts w:hint="eastAsia" w:ascii="黑体" w:hAnsi="黑体" w:eastAsia="黑体" w:cs="黑体"/>
          <w:color w:val="000000"/>
          <w:kern w:val="0"/>
          <w:sz w:val="22"/>
          <w:szCs w:val="22"/>
        </w:rPr>
        <w:t xml:space="preserve">获国家发明奖和国家科技进步奖21项，国家发明专利及实用新型专利313项，国家级工法11项、省部级工法64项，参与了18项国家和行业规范标准的编制及修订。    </w:t>
      </w:r>
    </w:p>
    <w:p>
      <w:pPr>
        <w:spacing w:line="360" w:lineRule="auto"/>
        <w:ind w:firstLine="440" w:firstLineChars="200"/>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立60年来，集团足迹遍布20多个省、市、自治区及蒙古、土耳其、巴基斯坦、老挝、印度、越南、柬埔寨等国，有着丰富的工程施工经验、PPP项目建设经验及国际项目管理经验，并以优质、高效、绿色环保的施工产品赢得了国内外业主的广泛赞誉。集团在矿山建设领域保持着5项世界纪录和38项中国纪录，荣获省部级以上优质工程奖242项，其中中国建设工程最高质量奖“鲁班奖”6项、国家优质工程奖5项、中国煤炭行业工程质量最高奖“太阳杯”79项，多次被评为全国守合同重信用单位、全国优秀施工企业、全国煤炭行业优秀企业、中国工程建设社会信用“AAA”级企业、中国工程建设诚信典型企业、全国建筑业科技进步与创新先进企业、中国建筑业竞争力百强企业、全国设备管理先进单位、全国五一劳动奖状、全国安康杯竞赛优胜企业等荣誉称号。</w:t>
      </w:r>
    </w:p>
    <w:p>
      <w:pPr>
        <w:spacing w:line="360" w:lineRule="auto"/>
        <w:ind w:firstLine="440" w:firstLineChars="200"/>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煤矿山建设集团有限责任公司始终贯彻“以人为本，人才强企”的战略理念，高度重视人才的引进与培养，努力为广大专业技术人才创造良好的工作环境和广阔的才华施展平台，真正实现企业发展与个人事业有成的双赢。</w:t>
      </w:r>
    </w:p>
    <w:p>
      <w:pPr>
        <w:spacing w:line="500" w:lineRule="exact"/>
        <w:ind w:firstLine="442" w:firstLineChars="200"/>
        <w:rPr>
          <w:rFonts w:hint="eastAsia" w:ascii="黑体" w:hAnsi="黑体" w:eastAsia="黑体" w:cs="黑体"/>
          <w:b/>
          <w:color w:val="000000"/>
          <w:kern w:val="0"/>
          <w:sz w:val="22"/>
          <w:szCs w:val="22"/>
        </w:rPr>
      </w:pPr>
    </w:p>
    <w:p>
      <w:pPr>
        <w:spacing w:line="500" w:lineRule="exact"/>
        <w:ind w:firstLine="442" w:firstLineChars="200"/>
        <w:rPr>
          <w:rFonts w:hint="eastAsia" w:ascii="黑体" w:hAnsi="黑体" w:eastAsia="黑体" w:cs="黑体"/>
          <w:b/>
          <w:color w:val="000000"/>
          <w:kern w:val="0"/>
          <w:sz w:val="22"/>
          <w:szCs w:val="22"/>
        </w:rPr>
      </w:pPr>
    </w:p>
    <w:p>
      <w:pPr>
        <w:spacing w:line="500" w:lineRule="exact"/>
        <w:rPr>
          <w:rFonts w:hint="eastAsia" w:ascii="黑体" w:hAnsi="黑体" w:eastAsia="黑体" w:cs="黑体"/>
          <w:b/>
          <w:color w:val="000000"/>
          <w:kern w:val="0"/>
          <w:sz w:val="22"/>
          <w:szCs w:val="22"/>
          <w:lang w:eastAsia="zh-CN"/>
        </w:rPr>
      </w:pPr>
    </w:p>
    <w:p>
      <w:pPr>
        <w:spacing w:line="500" w:lineRule="exact"/>
        <w:rPr>
          <w:rFonts w:hint="eastAsia" w:ascii="黑体" w:hAnsi="黑体" w:eastAsia="黑体" w:cs="黑体"/>
          <w:b/>
          <w:color w:val="000000"/>
          <w:kern w:val="0"/>
          <w:sz w:val="22"/>
          <w:szCs w:val="22"/>
          <w:lang w:eastAsia="zh-CN"/>
        </w:rPr>
      </w:pPr>
    </w:p>
    <w:p>
      <w:pPr>
        <w:spacing w:line="500" w:lineRule="exact"/>
        <w:ind w:firstLine="643" w:firstLineChars="200"/>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二、招聘需求</w:t>
      </w:r>
    </w:p>
    <w:p>
      <w:pPr>
        <w:widowControl/>
        <w:jc w:val="left"/>
        <w:rPr>
          <w:rFonts w:hint="eastAsia" w:ascii="黑体" w:hAnsi="黑体" w:eastAsia="黑体" w:cs="黑体"/>
          <w:kern w:val="0"/>
          <w:sz w:val="22"/>
          <w:szCs w:val="22"/>
        </w:rPr>
      </w:pPr>
      <w:r>
        <w:rPr>
          <w:rFonts w:hint="eastAsia" w:ascii="黑体" w:hAnsi="黑体" w:eastAsia="黑体" w:cs="黑体"/>
          <w:kern w:val="0"/>
          <w:sz w:val="22"/>
          <w:szCs w:val="22"/>
        </w:rPr>
        <w:drawing>
          <wp:inline distT="0" distB="0" distL="114300" distR="114300">
            <wp:extent cx="5181600" cy="3679190"/>
            <wp:effectExtent l="0" t="0" r="0" b="3810"/>
            <wp:docPr id="1" name="图片 3" descr="FK%RNF3DY3CP$OYUE(7PG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FK%RNF3DY3CP$OYUE(7PGEC"/>
                    <pic:cNvPicPr>
                      <a:picLocks noChangeAspect="1"/>
                    </pic:cNvPicPr>
                  </pic:nvPicPr>
                  <pic:blipFill>
                    <a:blip r:embed="rId5"/>
                    <a:stretch>
                      <a:fillRect/>
                    </a:stretch>
                  </pic:blipFill>
                  <pic:spPr>
                    <a:xfrm>
                      <a:off x="0" y="0"/>
                      <a:ext cx="5181600" cy="3679190"/>
                    </a:xfrm>
                    <a:prstGeom prst="rect">
                      <a:avLst/>
                    </a:prstGeom>
                    <a:noFill/>
                    <a:ln>
                      <a:noFill/>
                    </a:ln>
                  </pic:spPr>
                </pic:pic>
              </a:graphicData>
            </a:graphic>
          </wp:inline>
        </w:drawing>
      </w:r>
    </w:p>
    <w:p>
      <w:pPr>
        <w:spacing w:line="240" w:lineRule="auto"/>
        <w:ind w:firstLine="442" w:firstLineChars="200"/>
        <w:rPr>
          <w:rFonts w:hint="eastAsia" w:ascii="黑体" w:hAnsi="黑体" w:eastAsia="黑体" w:cs="黑体"/>
          <w:b/>
          <w:color w:val="000000"/>
          <w:kern w:val="0"/>
          <w:sz w:val="22"/>
          <w:szCs w:val="22"/>
        </w:rPr>
      </w:pPr>
      <w:r>
        <w:rPr>
          <w:rFonts w:hint="eastAsia" w:ascii="黑体" w:hAnsi="黑体" w:eastAsia="黑体" w:cs="黑体"/>
          <w:b/>
          <w:color w:val="000000"/>
          <w:kern w:val="0"/>
          <w:sz w:val="22"/>
          <w:szCs w:val="22"/>
        </w:rPr>
        <w:t>三、基本条件</w:t>
      </w:r>
    </w:p>
    <w:p>
      <w:pPr>
        <w:spacing w:line="240" w:lineRule="auto"/>
        <w:ind w:firstLine="330" w:firstLineChars="150"/>
        <w:rPr>
          <w:rFonts w:hint="eastAsia" w:ascii="黑体" w:hAnsi="黑体" w:eastAsia="黑体" w:cs="黑体"/>
          <w:bCs/>
          <w:color w:val="000000"/>
          <w:kern w:val="0"/>
          <w:sz w:val="22"/>
          <w:szCs w:val="22"/>
        </w:rPr>
      </w:pPr>
      <w:r>
        <w:rPr>
          <w:rFonts w:hint="eastAsia" w:ascii="黑体" w:hAnsi="黑体" w:eastAsia="黑体" w:cs="黑体"/>
          <w:bCs/>
          <w:color w:val="000000"/>
          <w:kern w:val="0"/>
          <w:sz w:val="22"/>
          <w:szCs w:val="22"/>
        </w:rPr>
        <w:t>（1）2021年应届毕业的全日制（全国统考）普通高等教育大专及以上学历；</w:t>
      </w:r>
    </w:p>
    <w:p>
      <w:pPr>
        <w:spacing w:line="240" w:lineRule="auto"/>
        <w:ind w:firstLine="330" w:firstLineChars="150"/>
        <w:rPr>
          <w:rFonts w:hint="eastAsia" w:ascii="黑体" w:hAnsi="黑体" w:eastAsia="黑体" w:cs="黑体"/>
          <w:color w:val="000000"/>
          <w:kern w:val="0"/>
          <w:sz w:val="22"/>
          <w:szCs w:val="22"/>
        </w:rPr>
      </w:pPr>
      <w:r>
        <w:rPr>
          <w:rFonts w:hint="eastAsia" w:ascii="黑体" w:hAnsi="黑体" w:eastAsia="黑体" w:cs="黑体"/>
          <w:bCs/>
          <w:color w:val="000000"/>
          <w:kern w:val="0"/>
          <w:sz w:val="22"/>
          <w:szCs w:val="22"/>
        </w:rPr>
        <w:t>（2）遵守国家法律法规，具有良好的思想品德，爱岗敬业，所学专业基础扎实，认同诚信为本、创新为魂的企业核心价值观，身体健康，无不良记录。</w:t>
      </w:r>
    </w:p>
    <w:p>
      <w:pPr>
        <w:spacing w:line="240" w:lineRule="auto"/>
        <w:ind w:firstLine="442" w:firstLineChars="200"/>
        <w:rPr>
          <w:rFonts w:hint="eastAsia" w:ascii="黑体" w:hAnsi="黑体" w:eastAsia="黑体" w:cs="黑体"/>
          <w:b/>
          <w:color w:val="000000"/>
          <w:kern w:val="0"/>
          <w:sz w:val="22"/>
          <w:szCs w:val="22"/>
        </w:rPr>
      </w:pPr>
      <w:r>
        <w:rPr>
          <w:rFonts w:hint="eastAsia" w:ascii="黑体" w:hAnsi="黑体" w:eastAsia="黑体" w:cs="黑体"/>
          <w:b/>
          <w:color w:val="000000"/>
          <w:kern w:val="0"/>
          <w:sz w:val="22"/>
          <w:szCs w:val="22"/>
        </w:rPr>
        <w:t>四、薪资福利</w:t>
      </w:r>
    </w:p>
    <w:p>
      <w:pPr>
        <w:spacing w:line="240" w:lineRule="auto"/>
        <w:ind w:firstLine="440" w:firstLineChars="200"/>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见习期保底工资：</w:t>
      </w:r>
      <w:r>
        <w:rPr>
          <w:rFonts w:hint="eastAsia" w:ascii="黑体" w:hAnsi="黑体" w:eastAsia="黑体" w:cs="黑体"/>
          <w:color w:val="000000"/>
          <w:kern w:val="0"/>
          <w:sz w:val="22"/>
          <w:szCs w:val="22"/>
          <w:lang w:eastAsia="zh-CN"/>
        </w:rPr>
        <w:t>根据岗位核定工资</w:t>
      </w:r>
      <w:r>
        <w:rPr>
          <w:rFonts w:hint="eastAsia" w:ascii="黑体" w:hAnsi="黑体" w:eastAsia="黑体" w:cs="黑体"/>
          <w:color w:val="000000"/>
          <w:kern w:val="0"/>
          <w:sz w:val="22"/>
          <w:szCs w:val="22"/>
        </w:rPr>
        <w:t>。转正后年平均收入8至12万。</w:t>
      </w:r>
    </w:p>
    <w:p>
      <w:pPr>
        <w:spacing w:line="240" w:lineRule="auto"/>
        <w:ind w:firstLine="440" w:firstLineChars="200"/>
        <w:rPr>
          <w:rFonts w:hint="eastAsia" w:ascii="黑体" w:hAnsi="黑体" w:eastAsia="黑体" w:cs="黑体"/>
          <w:sz w:val="22"/>
          <w:szCs w:val="22"/>
        </w:rPr>
      </w:pPr>
      <w:r>
        <w:rPr>
          <w:rFonts w:hint="eastAsia" w:ascii="黑体" w:hAnsi="黑体" w:eastAsia="黑体" w:cs="黑体"/>
          <w:sz w:val="22"/>
          <w:szCs w:val="22"/>
        </w:rPr>
        <w:t>全面福利=五险一金、学习晋升、荣誉表彰、节日关爱、健康关怀、综合福利。</w:t>
      </w:r>
    </w:p>
    <w:p>
      <w:pPr>
        <w:spacing w:line="240" w:lineRule="auto"/>
        <w:ind w:firstLine="440" w:firstLineChars="200"/>
        <w:rPr>
          <w:rFonts w:hint="eastAsia" w:ascii="黑体" w:hAnsi="黑体" w:eastAsia="黑体" w:cs="黑体"/>
          <w:color w:val="000000"/>
          <w:kern w:val="0"/>
          <w:sz w:val="22"/>
          <w:szCs w:val="22"/>
        </w:rPr>
      </w:pPr>
      <w:r>
        <w:rPr>
          <w:rFonts w:hint="eastAsia" w:ascii="黑体" w:hAnsi="黑体" w:eastAsia="黑体" w:cs="黑体"/>
          <w:sz w:val="22"/>
          <w:szCs w:val="22"/>
        </w:rPr>
        <w:t>对集团紧缺专业的应届毕业生发放安家费，标准为1至7万元。</w:t>
      </w:r>
    </w:p>
    <w:p>
      <w:pPr>
        <w:spacing w:line="240" w:lineRule="auto"/>
        <w:rPr>
          <w:rStyle w:val="20"/>
          <w:rFonts w:hint="eastAsia" w:ascii="黑体" w:hAnsi="黑体" w:eastAsia="黑体" w:cs="黑体"/>
          <w:b/>
          <w:sz w:val="22"/>
          <w:szCs w:val="22"/>
        </w:rPr>
      </w:pPr>
      <w:r>
        <w:rPr>
          <w:rStyle w:val="20"/>
          <w:rFonts w:hint="eastAsia" w:ascii="黑体" w:hAnsi="黑体" w:eastAsia="黑体" w:cs="黑体"/>
          <w:sz w:val="22"/>
          <w:szCs w:val="22"/>
        </w:rPr>
        <w:t xml:space="preserve">     </w:t>
      </w:r>
      <w:r>
        <w:rPr>
          <w:rStyle w:val="20"/>
          <w:rFonts w:hint="eastAsia" w:ascii="黑体" w:hAnsi="黑体" w:eastAsia="黑体" w:cs="黑体"/>
          <w:b/>
          <w:sz w:val="22"/>
          <w:szCs w:val="22"/>
        </w:rPr>
        <w:t>三、应聘方式</w:t>
      </w:r>
    </w:p>
    <w:p>
      <w:pPr>
        <w:spacing w:line="240" w:lineRule="auto"/>
        <w:rPr>
          <w:rStyle w:val="20"/>
          <w:rFonts w:hint="eastAsia" w:ascii="黑体" w:hAnsi="黑体" w:eastAsia="黑体" w:cs="黑体"/>
          <w:sz w:val="22"/>
          <w:szCs w:val="22"/>
        </w:rPr>
      </w:pPr>
      <w:r>
        <w:rPr>
          <w:rStyle w:val="20"/>
          <w:rFonts w:hint="eastAsia" w:ascii="黑体" w:hAnsi="黑体" w:eastAsia="黑体" w:cs="黑体"/>
          <w:sz w:val="22"/>
          <w:szCs w:val="22"/>
        </w:rPr>
        <w:t xml:space="preserve">     1、登陆集团招聘网站，关注集团空中宣讲会，投递简历。</w:t>
      </w:r>
    </w:p>
    <w:p>
      <w:pPr>
        <w:spacing w:line="240" w:lineRule="auto"/>
        <w:ind w:firstLine="550" w:firstLineChars="250"/>
        <w:rPr>
          <w:rStyle w:val="20"/>
          <w:rFonts w:hint="eastAsia" w:ascii="黑体" w:hAnsi="黑体" w:eastAsia="黑体" w:cs="黑体"/>
          <w:sz w:val="22"/>
          <w:szCs w:val="22"/>
        </w:rPr>
      </w:pPr>
      <w:r>
        <w:rPr>
          <w:rStyle w:val="20"/>
          <w:rFonts w:hint="eastAsia" w:ascii="黑体" w:hAnsi="黑体" w:eastAsia="黑体" w:cs="黑体"/>
          <w:sz w:val="22"/>
          <w:szCs w:val="22"/>
        </w:rPr>
        <w:t>招聘网址：http://ccmc2021.zhaopin.com/ </w:t>
      </w:r>
    </w:p>
    <w:p>
      <w:pPr>
        <w:spacing w:line="240" w:lineRule="auto"/>
        <w:ind w:firstLine="550" w:firstLineChars="250"/>
        <w:rPr>
          <w:rStyle w:val="20"/>
          <w:rFonts w:hint="eastAsia" w:ascii="黑体" w:hAnsi="黑体" w:eastAsia="黑体" w:cs="黑体"/>
          <w:sz w:val="22"/>
          <w:szCs w:val="22"/>
        </w:rPr>
      </w:pPr>
      <w:r>
        <w:rPr>
          <w:rStyle w:val="20"/>
          <w:rFonts w:hint="eastAsia" w:ascii="黑体" w:hAnsi="黑体" w:eastAsia="黑体" w:cs="黑体"/>
          <w:sz w:val="22"/>
          <w:szCs w:val="22"/>
        </w:rPr>
        <w:t>2、手机扫描二维码登陆，一键投递。</w:t>
      </w:r>
    </w:p>
    <w:p>
      <w:pPr>
        <w:spacing w:line="240" w:lineRule="auto"/>
        <w:jc w:val="center"/>
        <w:rPr>
          <w:rFonts w:hint="eastAsia" w:ascii="黑体" w:hAnsi="黑体" w:eastAsia="黑体" w:cs="黑体"/>
          <w:kern w:val="0"/>
          <w:sz w:val="22"/>
          <w:szCs w:val="22"/>
        </w:rPr>
      </w:pPr>
      <w:r>
        <w:rPr>
          <w:rFonts w:hint="eastAsia" w:ascii="黑体" w:hAnsi="黑体" w:eastAsia="黑体" w:cs="黑体"/>
          <w:kern w:val="0"/>
          <w:sz w:val="22"/>
          <w:szCs w:val="22"/>
        </w:rPr>
        <w:drawing>
          <wp:inline distT="0" distB="0" distL="114300" distR="114300">
            <wp:extent cx="1519555" cy="1552575"/>
            <wp:effectExtent l="0" t="0" r="4445" b="9525"/>
            <wp:docPr id="2" name="图片 2" descr="7BS)~9FESXHDR$6{Q6HZ@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BS)~9FESXHDR$6{Q6HZ@_R"/>
                    <pic:cNvPicPr>
                      <a:picLocks noChangeAspect="1"/>
                    </pic:cNvPicPr>
                  </pic:nvPicPr>
                  <pic:blipFill>
                    <a:blip r:embed="rId6"/>
                    <a:stretch>
                      <a:fillRect/>
                    </a:stretch>
                  </pic:blipFill>
                  <pic:spPr>
                    <a:xfrm>
                      <a:off x="0" y="0"/>
                      <a:ext cx="1519555" cy="1552575"/>
                    </a:xfrm>
                    <a:prstGeom prst="rect">
                      <a:avLst/>
                    </a:prstGeom>
                    <a:noFill/>
                    <a:ln>
                      <a:noFill/>
                    </a:ln>
                  </pic:spPr>
                </pic:pic>
              </a:graphicData>
            </a:graphic>
          </wp:inline>
        </w:drawing>
      </w:r>
    </w:p>
    <w:p>
      <w:pPr>
        <w:spacing w:line="240" w:lineRule="auto"/>
        <w:ind w:firstLine="440" w:firstLineChars="200"/>
        <w:rPr>
          <w:rStyle w:val="20"/>
          <w:rFonts w:hint="eastAsia" w:ascii="黑体" w:hAnsi="黑体" w:eastAsia="黑体" w:cs="黑体"/>
          <w:sz w:val="22"/>
          <w:szCs w:val="22"/>
        </w:rPr>
      </w:pPr>
      <w:r>
        <w:rPr>
          <w:rStyle w:val="20"/>
          <w:rFonts w:hint="eastAsia" w:ascii="黑体" w:hAnsi="黑体" w:eastAsia="黑体" w:cs="黑体"/>
          <w:sz w:val="22"/>
          <w:szCs w:val="22"/>
        </w:rPr>
        <w:t>3、联系方式</w:t>
      </w:r>
    </w:p>
    <w:p>
      <w:pPr>
        <w:spacing w:line="240" w:lineRule="auto"/>
        <w:ind w:firstLine="440" w:firstLineChars="200"/>
        <w:rPr>
          <w:rStyle w:val="20"/>
          <w:rFonts w:hint="eastAsia" w:ascii="黑体" w:hAnsi="黑体" w:eastAsia="黑体" w:cs="黑体"/>
          <w:sz w:val="22"/>
          <w:szCs w:val="22"/>
        </w:rPr>
      </w:pPr>
      <w:r>
        <w:rPr>
          <w:rStyle w:val="20"/>
          <w:rFonts w:hint="eastAsia" w:ascii="黑体" w:hAnsi="黑体" w:eastAsia="黑体" w:cs="黑体"/>
          <w:sz w:val="22"/>
          <w:szCs w:val="22"/>
        </w:rPr>
        <w:t>集团总部地址：安徽省合肥市政务区习友路898号中煤矿建大厦</w:t>
      </w:r>
    </w:p>
    <w:p>
      <w:pPr>
        <w:spacing w:line="240" w:lineRule="auto"/>
        <w:ind w:firstLine="462" w:firstLineChars="210"/>
        <w:rPr>
          <w:rStyle w:val="20"/>
          <w:rFonts w:hint="eastAsia" w:ascii="黑体" w:hAnsi="黑体" w:eastAsia="黑体" w:cs="黑体"/>
          <w:sz w:val="22"/>
          <w:szCs w:val="22"/>
        </w:rPr>
      </w:pPr>
      <w:r>
        <w:rPr>
          <w:rStyle w:val="20"/>
          <w:rFonts w:hint="eastAsia" w:ascii="黑体" w:hAnsi="黑体" w:eastAsia="黑体" w:cs="黑体"/>
          <w:sz w:val="22"/>
          <w:szCs w:val="22"/>
        </w:rPr>
        <w:t>集团网址：</w:t>
      </w:r>
      <w:r>
        <w:rPr>
          <w:rFonts w:hint="eastAsia" w:ascii="黑体" w:hAnsi="黑体" w:eastAsia="黑体" w:cs="黑体"/>
          <w:sz w:val="22"/>
          <w:szCs w:val="22"/>
        </w:rPr>
        <w:fldChar w:fldCharType="begin"/>
      </w:r>
      <w:r>
        <w:rPr>
          <w:rStyle w:val="20"/>
          <w:rFonts w:hint="eastAsia" w:ascii="黑体" w:hAnsi="黑体" w:eastAsia="黑体" w:cs="黑体"/>
          <w:sz w:val="22"/>
          <w:szCs w:val="22"/>
        </w:rPr>
        <w:instrText xml:space="preserve"> HYPERLINK "http://www.ccmcgc.com" </w:instrText>
      </w:r>
      <w:r>
        <w:rPr>
          <w:rFonts w:hint="eastAsia" w:ascii="黑体" w:hAnsi="黑体" w:eastAsia="黑体" w:cs="黑体"/>
          <w:sz w:val="22"/>
          <w:szCs w:val="22"/>
        </w:rPr>
        <w:fldChar w:fldCharType="separate"/>
      </w:r>
      <w:r>
        <w:rPr>
          <w:rStyle w:val="19"/>
          <w:rFonts w:hint="eastAsia" w:ascii="黑体" w:hAnsi="黑体" w:eastAsia="黑体" w:cs="黑体"/>
          <w:sz w:val="22"/>
          <w:szCs w:val="22"/>
        </w:rPr>
        <w:t>www.ccmcgc.com</w:t>
      </w:r>
      <w:r>
        <w:rPr>
          <w:rFonts w:hint="eastAsia" w:ascii="黑体" w:hAnsi="黑体" w:eastAsia="黑体" w:cs="黑体"/>
          <w:sz w:val="22"/>
          <w:szCs w:val="22"/>
        </w:rPr>
        <w:fldChar w:fldCharType="end"/>
      </w:r>
    </w:p>
    <w:p>
      <w:pPr>
        <w:spacing w:line="240" w:lineRule="auto"/>
        <w:ind w:firstLine="440" w:firstLineChars="200"/>
        <w:rPr>
          <w:rStyle w:val="20"/>
          <w:rFonts w:hint="eastAsia" w:ascii="黑体" w:hAnsi="黑体" w:eastAsia="黑体" w:cs="黑体"/>
          <w:sz w:val="22"/>
          <w:szCs w:val="22"/>
        </w:rPr>
      </w:pPr>
      <w:r>
        <w:rPr>
          <w:rStyle w:val="20"/>
          <w:rFonts w:hint="eastAsia" w:ascii="黑体" w:hAnsi="黑体" w:eastAsia="黑体" w:cs="黑体"/>
          <w:sz w:val="22"/>
          <w:szCs w:val="22"/>
        </w:rPr>
        <w:t>联系人：卢先生，邮箱：</w:t>
      </w:r>
      <w:r>
        <w:rPr>
          <w:rFonts w:hint="eastAsia" w:ascii="黑体" w:hAnsi="黑体" w:eastAsia="黑体" w:cs="黑体"/>
          <w:sz w:val="22"/>
          <w:szCs w:val="22"/>
        </w:rPr>
        <w:t>ZMKJ_HRZP@126.com</w:t>
      </w:r>
      <w:r>
        <w:rPr>
          <w:rStyle w:val="20"/>
          <w:rFonts w:hint="eastAsia" w:ascii="黑体" w:hAnsi="黑体" w:eastAsia="黑体" w:cs="黑体"/>
          <w:sz w:val="22"/>
          <w:szCs w:val="22"/>
        </w:rPr>
        <w:t>，联系电话：0551-63675283，18605571949。</w:t>
      </w:r>
    </w:p>
    <w:p>
      <w:pPr>
        <w:spacing w:line="500" w:lineRule="exact"/>
        <w:rPr>
          <w:rFonts w:hint="eastAsia" w:ascii="黑体" w:hAnsi="黑体" w:eastAsia="黑体" w:cs="黑体"/>
          <w:bCs/>
          <w:sz w:val="22"/>
          <w:szCs w:val="22"/>
        </w:rPr>
      </w:pPr>
      <w:r>
        <w:rPr>
          <w:rFonts w:hint="eastAsia" w:ascii="黑体" w:hAnsi="黑体" w:eastAsia="黑体" w:cs="黑体"/>
          <w:bCs/>
          <w:sz w:val="22"/>
          <w:szCs w:val="22"/>
        </w:rPr>
        <w:t xml:space="preserve">   </w:t>
      </w:r>
    </w:p>
    <w:p>
      <w:pPr>
        <w:spacing w:line="500" w:lineRule="exact"/>
        <w:rPr>
          <w:rFonts w:hint="eastAsia" w:ascii="黑体" w:hAnsi="黑体" w:eastAsia="黑体" w:cs="黑体"/>
          <w:bCs/>
          <w:sz w:val="22"/>
          <w:szCs w:val="22"/>
        </w:rPr>
      </w:pPr>
      <w:r>
        <w:rPr>
          <w:rFonts w:hint="eastAsia" w:ascii="黑体" w:hAnsi="黑体" w:eastAsia="黑体" w:cs="黑体"/>
          <w:bCs/>
          <w:sz w:val="22"/>
          <w:szCs w:val="22"/>
        </w:rPr>
        <w:t xml:space="preserve"> </w:t>
      </w:r>
    </w:p>
    <w:sectPr>
      <w:headerReference r:id="rId3" w:type="default"/>
      <w:pgSz w:w="11906" w:h="16838"/>
      <w:pgMar w:top="0" w:right="1800" w:bottom="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D32"/>
    <w:rsid w:val="00037D82"/>
    <w:rsid w:val="000836C8"/>
    <w:rsid w:val="000A72B1"/>
    <w:rsid w:val="0012031E"/>
    <w:rsid w:val="00147ADF"/>
    <w:rsid w:val="001A64AC"/>
    <w:rsid w:val="001E6247"/>
    <w:rsid w:val="00204FAD"/>
    <w:rsid w:val="00205B30"/>
    <w:rsid w:val="0030710C"/>
    <w:rsid w:val="00315F5D"/>
    <w:rsid w:val="00321F2F"/>
    <w:rsid w:val="00344B22"/>
    <w:rsid w:val="00363D32"/>
    <w:rsid w:val="003920D1"/>
    <w:rsid w:val="003B3B8F"/>
    <w:rsid w:val="003C484E"/>
    <w:rsid w:val="00403987"/>
    <w:rsid w:val="004049B6"/>
    <w:rsid w:val="004529F5"/>
    <w:rsid w:val="004672D8"/>
    <w:rsid w:val="004B3B9F"/>
    <w:rsid w:val="004E7D9E"/>
    <w:rsid w:val="005038BE"/>
    <w:rsid w:val="0052163A"/>
    <w:rsid w:val="00521AD3"/>
    <w:rsid w:val="0054338E"/>
    <w:rsid w:val="00546F5A"/>
    <w:rsid w:val="00557715"/>
    <w:rsid w:val="00576545"/>
    <w:rsid w:val="005A0AE4"/>
    <w:rsid w:val="005C6FE1"/>
    <w:rsid w:val="005E6288"/>
    <w:rsid w:val="00611BEF"/>
    <w:rsid w:val="0062772C"/>
    <w:rsid w:val="00656C08"/>
    <w:rsid w:val="006B3E1D"/>
    <w:rsid w:val="006B3E70"/>
    <w:rsid w:val="006D1523"/>
    <w:rsid w:val="007019C0"/>
    <w:rsid w:val="00723171"/>
    <w:rsid w:val="00724651"/>
    <w:rsid w:val="00770A22"/>
    <w:rsid w:val="007A4467"/>
    <w:rsid w:val="007B022C"/>
    <w:rsid w:val="007C34B2"/>
    <w:rsid w:val="007E2C3F"/>
    <w:rsid w:val="008124DC"/>
    <w:rsid w:val="00840D59"/>
    <w:rsid w:val="0084676F"/>
    <w:rsid w:val="008641A4"/>
    <w:rsid w:val="00884766"/>
    <w:rsid w:val="008A1E7A"/>
    <w:rsid w:val="008A2F07"/>
    <w:rsid w:val="008D5780"/>
    <w:rsid w:val="008D6276"/>
    <w:rsid w:val="008E3BA5"/>
    <w:rsid w:val="008E5099"/>
    <w:rsid w:val="00923149"/>
    <w:rsid w:val="0095471E"/>
    <w:rsid w:val="00956808"/>
    <w:rsid w:val="00963C4C"/>
    <w:rsid w:val="0097195F"/>
    <w:rsid w:val="009F01F4"/>
    <w:rsid w:val="00A82363"/>
    <w:rsid w:val="00A95502"/>
    <w:rsid w:val="00AA3AF9"/>
    <w:rsid w:val="00AB65BF"/>
    <w:rsid w:val="00AD39FC"/>
    <w:rsid w:val="00B22FD6"/>
    <w:rsid w:val="00B31F2E"/>
    <w:rsid w:val="00B40E4B"/>
    <w:rsid w:val="00B40F9C"/>
    <w:rsid w:val="00B83C9B"/>
    <w:rsid w:val="00B85690"/>
    <w:rsid w:val="00B91118"/>
    <w:rsid w:val="00BA5FEF"/>
    <w:rsid w:val="00BB3EFE"/>
    <w:rsid w:val="00BF6516"/>
    <w:rsid w:val="00C23EA8"/>
    <w:rsid w:val="00C43D7F"/>
    <w:rsid w:val="00C82F05"/>
    <w:rsid w:val="00C84E3E"/>
    <w:rsid w:val="00C85123"/>
    <w:rsid w:val="00CF0CCA"/>
    <w:rsid w:val="00D01DA0"/>
    <w:rsid w:val="00D45114"/>
    <w:rsid w:val="00DD449F"/>
    <w:rsid w:val="00DD7F45"/>
    <w:rsid w:val="00E14A2E"/>
    <w:rsid w:val="00E335CC"/>
    <w:rsid w:val="00E35E3D"/>
    <w:rsid w:val="00E36894"/>
    <w:rsid w:val="00E63F8C"/>
    <w:rsid w:val="00E65E8F"/>
    <w:rsid w:val="00E67D6A"/>
    <w:rsid w:val="00E84D1E"/>
    <w:rsid w:val="00E92634"/>
    <w:rsid w:val="00E95592"/>
    <w:rsid w:val="00EB37E5"/>
    <w:rsid w:val="00ED11AA"/>
    <w:rsid w:val="00F1707F"/>
    <w:rsid w:val="00F338D2"/>
    <w:rsid w:val="00F4733B"/>
    <w:rsid w:val="00F624AB"/>
    <w:rsid w:val="00F94DB7"/>
    <w:rsid w:val="00FB1FC3"/>
    <w:rsid w:val="00FE585A"/>
    <w:rsid w:val="24C811D3"/>
    <w:rsid w:val="33930026"/>
    <w:rsid w:val="3FCD6BED"/>
    <w:rsid w:val="4446171C"/>
    <w:rsid w:val="63067352"/>
    <w:rsid w:val="6B5D1C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7">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alloon Text"/>
    <w:basedOn w:val="1"/>
    <w:link w:val="22"/>
    <w:unhideWhenUsed/>
    <w:uiPriority w:val="99"/>
    <w:rPr>
      <w:sz w:val="18"/>
      <w:szCs w:val="18"/>
    </w:rPr>
  </w:style>
  <w:style w:type="paragraph" w:styleId="3">
    <w:name w:val="footer"/>
    <w:basedOn w:val="1"/>
    <w:link w:val="21"/>
    <w:unhideWhenUsed/>
    <w:uiPriority w:val="99"/>
    <w:pPr>
      <w:tabs>
        <w:tab w:val="center" w:pos="4153"/>
        <w:tab w:val="right" w:pos="8306"/>
      </w:tabs>
      <w:snapToGrid w:val="0"/>
      <w:jc w:val="left"/>
    </w:pPr>
    <w:rPr>
      <w:sz w:val="18"/>
      <w:szCs w:val="18"/>
    </w:rPr>
  </w:style>
  <w:style w:type="paragraph" w:styleId="4">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59"/>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
    <w:name w:val="Light Shading Accent 2"/>
    <w:basedOn w:val="6"/>
    <w:uiPriority w:val="60"/>
    <w:rPr>
      <w:color w:val="943634"/>
    </w:rPr>
    <w:tblPr>
      <w:tblStyle w:val="6"/>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blStyle w:val="6"/>
      </w:tblPr>
      <w:tcPr>
        <w:tcBorders>
          <w:top w:val="single" w:color="C0504D" w:sz="8" w:space="0"/>
          <w:left w:val="single" w:color="C0504D" w:sz="8" w:space="0"/>
          <w:bottom w:val="nil"/>
          <w:right w:val="nil"/>
          <w:insideH w:val="nil"/>
          <w:insideV w:val="nil"/>
          <w:tl2br w:val="nil"/>
          <w:tr2bl w:val="nil"/>
        </w:tcBorders>
      </w:tcPr>
    </w:tblStylePr>
    <w:tblStylePr w:type="lastRow">
      <w:pPr>
        <w:spacing w:before="0" w:after="0" w:line="240" w:lineRule="auto"/>
      </w:pPr>
      <w:rPr>
        <w:b/>
        <w:bCs/>
      </w:rPr>
      <w:tblPr>
        <w:tblStyle w:val="6"/>
      </w:tblPr>
      <w:tcPr>
        <w:tcBorders>
          <w:top w:val="single" w:color="C0504D" w:sz="8" w:space="0"/>
          <w:left w:val="single" w:color="C0504D"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6"/>
      </w:tblPr>
      <w:tcPr>
        <w:tcBorders>
          <w:top w:val="nil"/>
          <w:left w:val="nil"/>
          <w:bottom w:val="nil"/>
          <w:right w:val="nil"/>
          <w:insideH w:val="nil"/>
          <w:insideV w:val="nil"/>
          <w:tl2br w:val="nil"/>
          <w:tr2bl w:val="nil"/>
        </w:tcBorders>
        <w:shd w:val="clear" w:color="auto" w:fill="EFD3D2"/>
      </w:tcPr>
    </w:tblStylePr>
    <w:tblStylePr w:type="band1Horz">
      <w:tblPr>
        <w:tblStyle w:val="6"/>
      </w:tblPr>
      <w:tcPr>
        <w:tcBorders>
          <w:top w:val="nil"/>
          <w:left w:val="nil"/>
          <w:bottom w:val="nil"/>
          <w:right w:val="nil"/>
          <w:insideH w:val="nil"/>
          <w:insideV w:val="nil"/>
          <w:tl2br w:val="nil"/>
          <w:tr2bl w:val="nil"/>
        </w:tcBorders>
        <w:shd w:val="clear" w:color="auto" w:fill="EFD3D2"/>
      </w:tcPr>
    </w:tblStylePr>
  </w:style>
  <w:style w:type="table" w:styleId="9">
    <w:name w:val="Light Shading Accent 3"/>
    <w:basedOn w:val="6"/>
    <w:uiPriority w:val="60"/>
    <w:rPr>
      <w:color w:val="76923C"/>
    </w:rPr>
    <w:tblPr>
      <w:tblStyle w:val="6"/>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blStyle w:val="6"/>
      </w:tblPr>
      <w:tcPr>
        <w:tcBorders>
          <w:top w:val="single" w:color="9BBB59" w:sz="8" w:space="0"/>
          <w:left w:val="single" w:color="9BBB59" w:sz="8" w:space="0"/>
          <w:bottom w:val="nil"/>
          <w:right w:val="nil"/>
          <w:insideH w:val="nil"/>
          <w:insideV w:val="nil"/>
          <w:tl2br w:val="nil"/>
          <w:tr2bl w:val="nil"/>
        </w:tcBorders>
      </w:tcPr>
    </w:tblStylePr>
    <w:tblStylePr w:type="lastRow">
      <w:pPr>
        <w:spacing w:before="0" w:after="0" w:line="240" w:lineRule="auto"/>
      </w:pPr>
      <w:rPr>
        <w:b/>
        <w:bCs/>
      </w:rPr>
      <w:tblPr>
        <w:tblStyle w:val="6"/>
      </w:tblPr>
      <w:tcPr>
        <w:tcBorders>
          <w:top w:val="single" w:color="9BBB59" w:sz="8" w:space="0"/>
          <w:left w:val="single" w:color="9BBB59"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6"/>
      </w:tblPr>
      <w:tcPr>
        <w:tcBorders>
          <w:top w:val="nil"/>
          <w:left w:val="nil"/>
          <w:bottom w:val="nil"/>
          <w:right w:val="nil"/>
          <w:insideH w:val="nil"/>
          <w:insideV w:val="nil"/>
          <w:tl2br w:val="nil"/>
          <w:tr2bl w:val="nil"/>
        </w:tcBorders>
        <w:shd w:val="clear" w:color="auto" w:fill="E6EED5"/>
      </w:tcPr>
    </w:tblStylePr>
    <w:tblStylePr w:type="band1Horz">
      <w:tblPr>
        <w:tblStyle w:val="6"/>
      </w:tblPr>
      <w:tcPr>
        <w:tcBorders>
          <w:top w:val="nil"/>
          <w:left w:val="nil"/>
          <w:bottom w:val="nil"/>
          <w:right w:val="nil"/>
          <w:insideH w:val="nil"/>
          <w:insideV w:val="nil"/>
          <w:tl2br w:val="nil"/>
          <w:tr2bl w:val="nil"/>
        </w:tcBorders>
        <w:shd w:val="clear" w:color="auto" w:fill="E6EED5"/>
      </w:tcPr>
    </w:tblStylePr>
  </w:style>
  <w:style w:type="table" w:styleId="10">
    <w:name w:val="Light Shading Accent 4"/>
    <w:basedOn w:val="6"/>
    <w:uiPriority w:val="60"/>
    <w:rPr>
      <w:color w:val="5F497A"/>
    </w:rPr>
    <w:tblPr>
      <w:tblStyle w:val="6"/>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blStyle w:val="6"/>
      </w:tblPr>
      <w:tcPr>
        <w:tcBorders>
          <w:top w:val="single" w:color="8064A2" w:sz="8" w:space="0"/>
          <w:left w:val="single" w:color="8064A2" w:sz="8" w:space="0"/>
          <w:bottom w:val="nil"/>
          <w:right w:val="nil"/>
          <w:insideH w:val="nil"/>
          <w:insideV w:val="nil"/>
          <w:tl2br w:val="nil"/>
          <w:tr2bl w:val="nil"/>
        </w:tcBorders>
      </w:tcPr>
    </w:tblStylePr>
    <w:tblStylePr w:type="lastRow">
      <w:pPr>
        <w:spacing w:before="0" w:after="0" w:line="240" w:lineRule="auto"/>
      </w:pPr>
      <w:rPr>
        <w:b/>
        <w:bCs/>
      </w:rPr>
      <w:tblPr>
        <w:tblStyle w:val="6"/>
      </w:tblPr>
      <w:tcPr>
        <w:tcBorders>
          <w:top w:val="single" w:color="8064A2" w:sz="8" w:space="0"/>
          <w:left w:val="single" w:color="8064A2"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6"/>
      </w:tblPr>
      <w:tcPr>
        <w:tcBorders>
          <w:top w:val="nil"/>
          <w:left w:val="nil"/>
          <w:bottom w:val="nil"/>
          <w:right w:val="nil"/>
          <w:insideH w:val="nil"/>
          <w:insideV w:val="nil"/>
          <w:tl2br w:val="nil"/>
          <w:tr2bl w:val="nil"/>
        </w:tcBorders>
        <w:shd w:val="clear" w:color="auto" w:fill="DFD8E8"/>
      </w:tcPr>
    </w:tblStylePr>
    <w:tblStylePr w:type="band1Horz">
      <w:tblPr>
        <w:tblStyle w:val="6"/>
      </w:tblPr>
      <w:tcPr>
        <w:tcBorders>
          <w:top w:val="nil"/>
          <w:left w:val="nil"/>
          <w:bottom w:val="nil"/>
          <w:right w:val="nil"/>
          <w:insideH w:val="nil"/>
          <w:insideV w:val="nil"/>
          <w:tl2br w:val="nil"/>
          <w:tr2bl w:val="nil"/>
        </w:tcBorders>
        <w:shd w:val="clear" w:color="auto" w:fill="DFD8E8"/>
      </w:tcPr>
    </w:tblStylePr>
  </w:style>
  <w:style w:type="table" w:styleId="11">
    <w:name w:val="Light Shading Accent 5"/>
    <w:basedOn w:val="6"/>
    <w:uiPriority w:val="60"/>
    <w:rPr>
      <w:color w:val="31849B"/>
    </w:rPr>
    <w:tblPr>
      <w:tblStyle w:val="6"/>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blStyle w:val="6"/>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blPr>
        <w:tblStyle w:val="6"/>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6"/>
      </w:tblPr>
      <w:tcPr>
        <w:tcBorders>
          <w:top w:val="nil"/>
          <w:left w:val="nil"/>
          <w:bottom w:val="nil"/>
          <w:right w:val="nil"/>
          <w:insideH w:val="nil"/>
          <w:insideV w:val="nil"/>
          <w:tl2br w:val="nil"/>
          <w:tr2bl w:val="nil"/>
        </w:tcBorders>
        <w:shd w:val="clear" w:color="auto" w:fill="D2EAF1"/>
      </w:tcPr>
    </w:tblStylePr>
    <w:tblStylePr w:type="band1Horz">
      <w:tblPr>
        <w:tblStyle w:val="6"/>
      </w:tblPr>
      <w:tcPr>
        <w:tcBorders>
          <w:top w:val="nil"/>
          <w:left w:val="nil"/>
          <w:bottom w:val="nil"/>
          <w:right w:val="nil"/>
          <w:insideH w:val="nil"/>
          <w:insideV w:val="nil"/>
          <w:tl2br w:val="nil"/>
          <w:tr2bl w:val="nil"/>
        </w:tcBorders>
        <w:shd w:val="clear" w:color="auto" w:fill="D2EAF1"/>
      </w:tcPr>
    </w:tblStylePr>
  </w:style>
  <w:style w:type="table" w:styleId="12">
    <w:name w:val="Light Shading Accent 6"/>
    <w:basedOn w:val="6"/>
    <w:uiPriority w:val="60"/>
    <w:rPr>
      <w:color w:val="E36C0A"/>
    </w:rPr>
    <w:tblPr>
      <w:tblStyle w:val="6"/>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blStyle w:val="6"/>
      </w:tblPr>
      <w:tcPr>
        <w:tcBorders>
          <w:top w:val="single" w:color="F79646" w:sz="8" w:space="0"/>
          <w:left w:val="single" w:color="F79646" w:sz="8" w:space="0"/>
          <w:bottom w:val="nil"/>
          <w:right w:val="nil"/>
          <w:insideH w:val="nil"/>
          <w:insideV w:val="nil"/>
          <w:tl2br w:val="nil"/>
          <w:tr2bl w:val="nil"/>
        </w:tcBorders>
      </w:tcPr>
    </w:tblStylePr>
    <w:tblStylePr w:type="lastRow">
      <w:pPr>
        <w:spacing w:before="0" w:after="0" w:line="240" w:lineRule="auto"/>
      </w:pPr>
      <w:rPr>
        <w:b/>
        <w:bCs/>
      </w:rPr>
      <w:tblPr>
        <w:tblStyle w:val="6"/>
      </w:tblPr>
      <w:tcPr>
        <w:tcBorders>
          <w:top w:val="single" w:color="F79646" w:sz="8" w:space="0"/>
          <w:left w:val="single" w:color="F7964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6"/>
      </w:tblPr>
      <w:tcPr>
        <w:tcBorders>
          <w:top w:val="nil"/>
          <w:left w:val="nil"/>
          <w:bottom w:val="nil"/>
          <w:right w:val="nil"/>
          <w:insideH w:val="nil"/>
          <w:insideV w:val="nil"/>
          <w:tl2br w:val="nil"/>
          <w:tr2bl w:val="nil"/>
        </w:tcBorders>
        <w:shd w:val="clear" w:color="auto" w:fill="FDE4D0"/>
      </w:tcPr>
    </w:tblStylePr>
    <w:tblStylePr w:type="band1Horz">
      <w:tblPr>
        <w:tblStyle w:val="6"/>
      </w:tblPr>
      <w:tcPr>
        <w:tcBorders>
          <w:top w:val="nil"/>
          <w:left w:val="nil"/>
          <w:bottom w:val="nil"/>
          <w:right w:val="nil"/>
          <w:insideH w:val="nil"/>
          <w:insideV w:val="nil"/>
          <w:tl2br w:val="nil"/>
          <w:tr2bl w:val="nil"/>
        </w:tcBorders>
        <w:shd w:val="clear" w:color="auto" w:fill="FDE4D0"/>
      </w:tcPr>
    </w:tblStylePr>
  </w:style>
  <w:style w:type="table" w:styleId="13">
    <w:name w:val="Medium Shading 2 Accent 4"/>
    <w:basedOn w:val="6"/>
    <w:uiPriority w:val="64"/>
    <w:tblPr>
      <w:tblStyle w:val="6"/>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CCE8CF"/>
      </w:rPr>
      <w:tblPr>
        <w:tblStyle w:val="6"/>
      </w:tblPr>
      <w:tcPr>
        <w:tcBorders>
          <w:top w:val="single" w:color="auto" w:sz="18" w:space="0"/>
          <w:left w:val="single" w:color="auto" w:sz="18" w:space="0"/>
          <w:bottom w:val="nil"/>
          <w:right w:val="nil"/>
          <w:insideH w:val="nil"/>
          <w:insideV w:val="nil"/>
          <w:tl2br w:val="nil"/>
          <w:tr2bl w:val="nil"/>
        </w:tcBorders>
        <w:shd w:val="clear" w:color="auto" w:fill="8064A2"/>
      </w:tcPr>
    </w:tblStylePr>
    <w:tblStylePr w:type="lastRow">
      <w:pPr>
        <w:spacing w:before="0" w:after="0" w:line="240" w:lineRule="auto"/>
      </w:pPr>
      <w:rPr>
        <w:color w:val="auto"/>
      </w:rPr>
      <w:tblPr>
        <w:tblStyle w:val="6"/>
      </w:tblPr>
      <w:tcPr>
        <w:tcBorders>
          <w:top w:val="double" w:color="auto" w:sz="6" w:space="0"/>
          <w:left w:val="single" w:color="auto" w:sz="18" w:space="0"/>
          <w:bottom w:val="nil"/>
          <w:right w:val="nil"/>
          <w:insideH w:val="nil"/>
          <w:insideV w:val="nil"/>
          <w:tl2br w:val="nil"/>
          <w:tr2bl w:val="nil"/>
        </w:tcBorders>
        <w:shd w:val="clear" w:color="auto" w:fill="CCE8CF"/>
      </w:tcPr>
    </w:tblStylePr>
    <w:tblStylePr w:type="firstCol">
      <w:rPr>
        <w:b/>
        <w:bCs/>
        <w:color w:val="CCE8CF"/>
      </w:rPr>
      <w:tblPr>
        <w:tblStyle w:val="6"/>
      </w:tblPr>
      <w:tcPr>
        <w:tcBorders>
          <w:top w:val="nil"/>
          <w:left w:val="single" w:color="auto" w:sz="18" w:space="0"/>
          <w:bottom w:val="nil"/>
          <w:right w:val="nil"/>
          <w:insideH w:val="nil"/>
          <w:insideV w:val="nil"/>
          <w:tl2br w:val="nil"/>
          <w:tr2bl w:val="nil"/>
        </w:tcBorders>
        <w:shd w:val="clear" w:color="auto" w:fill="8064A2"/>
      </w:tcPr>
    </w:tblStylePr>
    <w:tblStylePr w:type="lastCol">
      <w:rPr>
        <w:b/>
        <w:bCs/>
        <w:color w:val="CCE8CF"/>
      </w:rPr>
      <w:tblPr>
        <w:tblStyle w:val="6"/>
      </w:tblPr>
      <w:tcPr>
        <w:tcBorders>
          <w:top w:val="nil"/>
          <w:left w:val="nil"/>
          <w:bottom w:val="nil"/>
          <w:right w:val="nil"/>
          <w:insideH w:val="nil"/>
          <w:insideV w:val="nil"/>
          <w:tl2br w:val="nil"/>
          <w:tr2bl w:val="nil"/>
        </w:tcBorders>
        <w:shd w:val="clear" w:color="auto" w:fill="8064A2"/>
      </w:tcPr>
    </w:tblStylePr>
    <w:tblStylePr w:type="band1Vert">
      <w:tblPr>
        <w:tblStyle w:val="6"/>
      </w:tblPr>
      <w:tcPr>
        <w:tcBorders>
          <w:top w:val="nil"/>
          <w:left w:val="nil"/>
          <w:bottom w:val="nil"/>
          <w:right w:val="nil"/>
          <w:insideH w:val="nil"/>
          <w:insideV w:val="nil"/>
          <w:tl2br w:val="nil"/>
          <w:tr2bl w:val="nil"/>
        </w:tcBorders>
        <w:shd w:val="clear" w:color="auto" w:fill="9DD3A3"/>
      </w:tcPr>
    </w:tblStylePr>
    <w:tblStylePr w:type="band1Horz">
      <w:tblPr>
        <w:tblStyle w:val="6"/>
      </w:tblPr>
      <w:tcPr>
        <w:shd w:val="clear" w:color="auto" w:fill="9DD3A3"/>
      </w:tcPr>
    </w:tblStylePr>
    <w:tblStylePr w:type="neCell">
      <w:tblPr>
        <w:tblStyle w:val="6"/>
      </w:tblPr>
      <w:tcPr>
        <w:tcBorders>
          <w:top w:val="single" w:color="auto" w:sz="18" w:space="0"/>
          <w:left w:val="single" w:color="auto" w:sz="18" w:space="0"/>
          <w:bottom w:val="nil"/>
          <w:right w:val="nil"/>
          <w:insideH w:val="nil"/>
          <w:insideV w:val="nil"/>
          <w:tl2br w:val="nil"/>
          <w:tr2bl w:val="nil"/>
        </w:tcBorders>
      </w:tcPr>
    </w:tblStylePr>
    <w:tblStylePr w:type="nwCell">
      <w:rPr>
        <w:color w:val="CCE8CF"/>
      </w:rPr>
      <w:tblPr>
        <w:tblStyle w:val="6"/>
      </w:tblPr>
      <w:tcPr>
        <w:tcBorders>
          <w:top w:val="single" w:color="auto" w:sz="18" w:space="0"/>
          <w:left w:val="single" w:color="auto" w:sz="18" w:space="0"/>
          <w:bottom w:val="nil"/>
          <w:right w:val="nil"/>
          <w:insideH w:val="nil"/>
          <w:insideV w:val="nil"/>
          <w:tl2br w:val="nil"/>
          <w:tr2bl w:val="nil"/>
        </w:tcBorders>
      </w:tcPr>
    </w:tblStylePr>
  </w:style>
  <w:style w:type="table" w:styleId="14">
    <w:name w:val="Medium Shading 2 Accent 5"/>
    <w:basedOn w:val="6"/>
    <w:uiPriority w:val="64"/>
    <w:tblPr>
      <w:tblStyle w:val="6"/>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CCE8CF"/>
      </w:rPr>
      <w:tblPr>
        <w:tblStyle w:val="6"/>
      </w:tblPr>
      <w:tcPr>
        <w:tcBorders>
          <w:top w:val="single" w:color="auto" w:sz="18" w:space="0"/>
          <w:left w:val="single" w:color="auto" w:sz="18" w:space="0"/>
          <w:bottom w:val="nil"/>
          <w:right w:val="nil"/>
          <w:insideH w:val="nil"/>
          <w:insideV w:val="nil"/>
          <w:tl2br w:val="nil"/>
          <w:tr2bl w:val="nil"/>
        </w:tcBorders>
        <w:shd w:val="clear" w:color="auto" w:fill="4BACC6"/>
      </w:tcPr>
    </w:tblStylePr>
    <w:tblStylePr w:type="lastRow">
      <w:pPr>
        <w:spacing w:before="0" w:after="0" w:line="240" w:lineRule="auto"/>
      </w:pPr>
      <w:rPr>
        <w:color w:val="auto"/>
      </w:rPr>
      <w:tblPr>
        <w:tblStyle w:val="6"/>
      </w:tblPr>
      <w:tcPr>
        <w:tcBorders>
          <w:top w:val="double" w:color="auto" w:sz="6" w:space="0"/>
          <w:left w:val="single" w:color="auto" w:sz="18" w:space="0"/>
          <w:bottom w:val="nil"/>
          <w:right w:val="nil"/>
          <w:insideH w:val="nil"/>
          <w:insideV w:val="nil"/>
          <w:tl2br w:val="nil"/>
          <w:tr2bl w:val="nil"/>
        </w:tcBorders>
        <w:shd w:val="clear" w:color="auto" w:fill="CCE8CF"/>
      </w:tcPr>
    </w:tblStylePr>
    <w:tblStylePr w:type="firstCol">
      <w:rPr>
        <w:b/>
        <w:bCs/>
        <w:color w:val="CCE8CF"/>
      </w:rPr>
      <w:tblPr>
        <w:tblStyle w:val="6"/>
      </w:tblPr>
      <w:tcPr>
        <w:tcBorders>
          <w:top w:val="nil"/>
          <w:left w:val="single" w:color="auto" w:sz="18" w:space="0"/>
          <w:bottom w:val="nil"/>
          <w:right w:val="nil"/>
          <w:insideH w:val="nil"/>
          <w:insideV w:val="nil"/>
          <w:tl2br w:val="nil"/>
          <w:tr2bl w:val="nil"/>
        </w:tcBorders>
        <w:shd w:val="clear" w:color="auto" w:fill="4BACC6"/>
      </w:tcPr>
    </w:tblStylePr>
    <w:tblStylePr w:type="lastCol">
      <w:rPr>
        <w:b/>
        <w:bCs/>
        <w:color w:val="CCE8CF"/>
      </w:rPr>
      <w:tblPr>
        <w:tblStyle w:val="6"/>
      </w:tblPr>
      <w:tcPr>
        <w:tcBorders>
          <w:top w:val="nil"/>
          <w:left w:val="nil"/>
          <w:bottom w:val="nil"/>
          <w:right w:val="nil"/>
          <w:insideH w:val="nil"/>
          <w:insideV w:val="nil"/>
          <w:tl2br w:val="nil"/>
          <w:tr2bl w:val="nil"/>
        </w:tcBorders>
        <w:shd w:val="clear" w:color="auto" w:fill="4BACC6"/>
      </w:tcPr>
    </w:tblStylePr>
    <w:tblStylePr w:type="band1Vert">
      <w:tblPr>
        <w:tblStyle w:val="6"/>
      </w:tblPr>
      <w:tcPr>
        <w:tcBorders>
          <w:top w:val="nil"/>
          <w:left w:val="nil"/>
          <w:bottom w:val="nil"/>
          <w:right w:val="nil"/>
          <w:insideH w:val="nil"/>
          <w:insideV w:val="nil"/>
          <w:tl2br w:val="nil"/>
          <w:tr2bl w:val="nil"/>
        </w:tcBorders>
        <w:shd w:val="clear" w:color="auto" w:fill="9DD3A3"/>
      </w:tcPr>
    </w:tblStylePr>
    <w:tblStylePr w:type="band1Horz">
      <w:tblPr>
        <w:tblStyle w:val="6"/>
      </w:tblPr>
      <w:tcPr>
        <w:shd w:val="clear" w:color="auto" w:fill="9DD3A3"/>
      </w:tcPr>
    </w:tblStylePr>
    <w:tblStylePr w:type="neCell">
      <w:tblPr>
        <w:tblStyle w:val="6"/>
      </w:tblPr>
      <w:tcPr>
        <w:tcBorders>
          <w:top w:val="single" w:color="auto" w:sz="18" w:space="0"/>
          <w:left w:val="single" w:color="auto" w:sz="18" w:space="0"/>
          <w:bottom w:val="nil"/>
          <w:right w:val="nil"/>
          <w:insideH w:val="nil"/>
          <w:insideV w:val="nil"/>
          <w:tl2br w:val="nil"/>
          <w:tr2bl w:val="nil"/>
        </w:tcBorders>
      </w:tcPr>
    </w:tblStylePr>
    <w:tblStylePr w:type="nwCell">
      <w:rPr>
        <w:color w:val="CCE8CF"/>
      </w:rPr>
      <w:tblPr>
        <w:tblStyle w:val="6"/>
      </w:tblPr>
      <w:tcPr>
        <w:tcBorders>
          <w:top w:val="single" w:color="auto" w:sz="18" w:space="0"/>
          <w:left w:val="single" w:color="auto" w:sz="18" w:space="0"/>
          <w:bottom w:val="nil"/>
          <w:right w:val="nil"/>
          <w:insideH w:val="nil"/>
          <w:insideV w:val="nil"/>
          <w:tl2br w:val="nil"/>
          <w:tr2bl w:val="nil"/>
        </w:tcBorders>
      </w:tcPr>
    </w:tblStylePr>
  </w:style>
  <w:style w:type="table" w:styleId="15">
    <w:name w:val="Medium Grid 3 Accent 1"/>
    <w:basedOn w:val="6"/>
    <w:uiPriority w:val="69"/>
    <w:tblPr>
      <w:tblStyle w:val="6"/>
      <w:tblStyleRowBandSize w:val="1"/>
      <w:tblStyleColBandSize w:val="1"/>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blStyle w:val="6"/>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4F81BD"/>
      </w:tcPr>
    </w:tblStylePr>
    <w:tblStylePr w:type="lastRow">
      <w:rPr>
        <w:b/>
        <w:bCs/>
        <w:i w:val="0"/>
        <w:iCs w:val="0"/>
        <w:color w:val="CCE8CF"/>
      </w:rPr>
      <w:tblPr>
        <w:tblStyle w:val="6"/>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CCE8CF"/>
      </w:rPr>
      <w:tblPr>
        <w:tblStyle w:val="6"/>
      </w:tblPr>
      <w:tcPr>
        <w:tcBorders>
          <w:top w:val="nil"/>
          <w:left w:val="nil"/>
          <w:bottom w:val="single" w:color="CCE8CF" w:sz="8" w:space="0"/>
          <w:right w:val="single" w:color="CCE8CF" w:sz="24" w:space="0"/>
          <w:insideH w:val="nil"/>
          <w:insideV w:val="nil"/>
          <w:tl2br w:val="nil"/>
          <w:tr2bl w:val="nil"/>
        </w:tcBorders>
        <w:shd w:val="clear" w:color="auto" w:fill="4F81BD"/>
      </w:tcPr>
    </w:tblStylePr>
    <w:tblStylePr w:type="lastCol">
      <w:rPr>
        <w:b/>
        <w:bCs/>
        <w:i w:val="0"/>
        <w:iCs w:val="0"/>
        <w:color w:val="CCE8CF"/>
      </w:rPr>
      <w:tblPr>
        <w:tblStyle w:val="6"/>
      </w:tblPr>
      <w:tcPr>
        <w:tcBorders>
          <w:top w:val="nil"/>
          <w:left w:val="nil"/>
          <w:bottom w:val="single" w:color="CCE8CF" w:sz="24" w:space="0"/>
          <w:right w:val="nil"/>
          <w:insideH w:val="nil"/>
          <w:insideV w:val="nil"/>
          <w:tl2br w:val="nil"/>
          <w:tr2bl w:val="nil"/>
        </w:tcBorders>
        <w:shd w:val="clear" w:color="auto" w:fill="4F81BD"/>
      </w:tcPr>
    </w:tblStylePr>
    <w:tblStylePr w:type="band1Vert">
      <w:tblPr>
        <w:tblStyle w:val="6"/>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blStyle w:val="6"/>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16">
    <w:name w:val="Colorful Grid Accent 6"/>
    <w:basedOn w:val="6"/>
    <w:uiPriority w:val="73"/>
    <w:rPr>
      <w:color w:val="000000"/>
    </w:rPr>
    <w:tblPr>
      <w:tblStyle w:val="6"/>
      <w:tblStyleRowBandSize w:val="1"/>
      <w:tblStyleColBandSize w:val="1"/>
      <w:tblBorders>
        <w:insideH w:val="single" w:color="CCE8CF" w:sz="4" w:space="0"/>
      </w:tblBorders>
    </w:tblPr>
    <w:tcPr>
      <w:shd w:val="clear" w:color="auto" w:fill="FDE9D9"/>
    </w:tcPr>
    <w:tblStylePr w:type="firstRow">
      <w:rPr>
        <w:b/>
        <w:bCs/>
      </w:rPr>
      <w:tblPr>
        <w:tblStyle w:val="6"/>
      </w:tblPr>
      <w:tcPr>
        <w:shd w:val="clear" w:color="auto" w:fill="FBD4B4"/>
      </w:tcPr>
    </w:tblStylePr>
    <w:tblStylePr w:type="lastRow">
      <w:rPr>
        <w:b/>
        <w:bCs/>
        <w:color w:val="000000"/>
      </w:rPr>
      <w:tblPr>
        <w:tblStyle w:val="6"/>
      </w:tblPr>
      <w:tcPr>
        <w:shd w:val="clear" w:color="auto" w:fill="FBD4B4"/>
      </w:tcPr>
    </w:tblStylePr>
    <w:tblStylePr w:type="firstCol">
      <w:rPr>
        <w:color w:val="CCE8CF"/>
      </w:rPr>
      <w:tblPr>
        <w:tblStyle w:val="6"/>
      </w:tblPr>
      <w:tcPr>
        <w:shd w:val="clear" w:color="auto" w:fill="E36C0A"/>
      </w:tcPr>
    </w:tblStylePr>
    <w:tblStylePr w:type="lastCol">
      <w:rPr>
        <w:color w:val="CCE8CF"/>
      </w:rPr>
      <w:tblPr>
        <w:tblStyle w:val="6"/>
      </w:tblPr>
      <w:tcPr>
        <w:shd w:val="clear" w:color="auto" w:fill="E36C0A"/>
      </w:tcPr>
    </w:tblStylePr>
    <w:tblStylePr w:type="band1Vert">
      <w:tblPr>
        <w:tblStyle w:val="6"/>
      </w:tblPr>
      <w:tcPr>
        <w:shd w:val="clear" w:color="auto" w:fill="FBCAA2"/>
      </w:tcPr>
    </w:tblStylePr>
    <w:tblStylePr w:type="band1Horz">
      <w:tblPr>
        <w:tblStyle w:val="6"/>
      </w:tblPr>
      <w:tcPr>
        <w:shd w:val="clear" w:color="auto" w:fill="FBCAA2"/>
      </w:tcPr>
    </w:tblStylePr>
  </w:style>
  <w:style w:type="character" w:styleId="18">
    <w:name w:val="Strong"/>
    <w:basedOn w:val="17"/>
    <w:qFormat/>
    <w:uiPriority w:val="22"/>
    <w:rPr>
      <w:b/>
      <w:bCs/>
    </w:rPr>
  </w:style>
  <w:style w:type="character" w:styleId="19">
    <w:name w:val="Hyperlink"/>
    <w:basedOn w:val="17"/>
    <w:uiPriority w:val="0"/>
    <w:rPr>
      <w:color w:val="0000FF"/>
      <w:u w:val="single"/>
    </w:rPr>
  </w:style>
  <w:style w:type="character" w:customStyle="1" w:styleId="20">
    <w:name w:val="style121"/>
    <w:basedOn w:val="17"/>
    <w:uiPriority w:val="0"/>
    <w:rPr>
      <w:sz w:val="21"/>
      <w:szCs w:val="21"/>
    </w:rPr>
  </w:style>
  <w:style w:type="character" w:customStyle="1" w:styleId="21">
    <w:name w:val="页脚 Char"/>
    <w:basedOn w:val="17"/>
    <w:link w:val="3"/>
    <w:semiHidden/>
    <w:uiPriority w:val="99"/>
    <w:rPr>
      <w:sz w:val="18"/>
      <w:szCs w:val="18"/>
    </w:rPr>
  </w:style>
  <w:style w:type="character" w:customStyle="1" w:styleId="22">
    <w:name w:val="批注框文本 Char"/>
    <w:basedOn w:val="17"/>
    <w:link w:val="2"/>
    <w:semiHidden/>
    <w:uiPriority w:val="99"/>
    <w:rPr>
      <w:kern w:val="2"/>
      <w:sz w:val="18"/>
      <w:szCs w:val="18"/>
    </w:rPr>
  </w:style>
  <w:style w:type="character" w:customStyle="1" w:styleId="23">
    <w:name w:val="titel1"/>
    <w:basedOn w:val="17"/>
    <w:uiPriority w:val="0"/>
    <w:rPr>
      <w:b/>
      <w:bCs/>
      <w:sz w:val="21"/>
      <w:szCs w:val="21"/>
    </w:rPr>
  </w:style>
  <w:style w:type="character" w:customStyle="1" w:styleId="24">
    <w:name w:val="页眉 Char"/>
    <w:basedOn w:val="17"/>
    <w:link w:val="4"/>
    <w:semiHidden/>
    <w:uiPriority w:val="99"/>
    <w:rPr>
      <w:sz w:val="18"/>
      <w:szCs w:val="18"/>
    </w:rPr>
  </w:style>
  <w:style w:type="table" w:customStyle="1" w:styleId="25">
    <w:name w:val="浅色底纹1"/>
    <w:basedOn w:val="6"/>
    <w:uiPriority w:val="60"/>
    <w:rPr>
      <w:color w:val="000000"/>
    </w:rPr>
    <w:tblPr>
      <w:tblStyle w:val="6"/>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blStyle w:val="6"/>
      </w:tbl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blPr>
        <w:tblStyle w:val="6"/>
      </w:tbl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6"/>
      </w:tblPr>
      <w:tcPr>
        <w:tcBorders>
          <w:top w:val="nil"/>
          <w:left w:val="nil"/>
          <w:bottom w:val="nil"/>
          <w:right w:val="nil"/>
          <w:insideH w:val="nil"/>
          <w:insideV w:val="nil"/>
          <w:tl2br w:val="nil"/>
          <w:tr2bl w:val="nil"/>
        </w:tcBorders>
        <w:shd w:val="clear" w:color="auto" w:fill="C0C0C0"/>
      </w:tcPr>
    </w:tblStylePr>
    <w:tblStylePr w:type="band1Horz">
      <w:tblPr>
        <w:tblStyle w:val="6"/>
      </w:tblPr>
      <w:tcPr>
        <w:tcBorders>
          <w:top w:val="nil"/>
          <w:left w:val="nil"/>
          <w:bottom w:val="nil"/>
          <w:right w:val="nil"/>
          <w:insideH w:val="nil"/>
          <w:insideV w:val="nil"/>
          <w:tl2br w:val="nil"/>
          <w:tr2bl w:val="nil"/>
        </w:tcBorders>
        <w:shd w:val="clear" w:color="auto" w:fill="C0C0C0"/>
      </w:tcPr>
    </w:tblStylePr>
  </w:style>
  <w:style w:type="table" w:customStyle="1" w:styleId="26">
    <w:name w:val="中等深浅底纹 21"/>
    <w:basedOn w:val="6"/>
    <w:uiPriority w:val="64"/>
    <w:tblPr>
      <w:tblStyle w:val="6"/>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CCE8CF"/>
      </w:rPr>
      <w:tblPr>
        <w:tblStyle w:val="6"/>
      </w:tblPr>
      <w:tcPr>
        <w:tcBorders>
          <w:top w:val="single" w:color="auto" w:sz="18" w:space="0"/>
          <w:left w:val="single" w:color="auto" w:sz="18" w:space="0"/>
          <w:bottom w:val="nil"/>
          <w:right w:val="nil"/>
          <w:insideH w:val="nil"/>
          <w:insideV w:val="nil"/>
          <w:tl2br w:val="nil"/>
          <w:tr2bl w:val="nil"/>
        </w:tcBorders>
        <w:shd w:val="clear" w:color="auto" w:fill="000000"/>
      </w:tcPr>
    </w:tblStylePr>
    <w:tblStylePr w:type="lastRow">
      <w:pPr>
        <w:spacing w:before="0" w:after="0" w:line="240" w:lineRule="auto"/>
      </w:pPr>
      <w:rPr>
        <w:color w:val="auto"/>
      </w:rPr>
      <w:tblPr>
        <w:tblStyle w:val="6"/>
      </w:tblPr>
      <w:tcPr>
        <w:tcBorders>
          <w:top w:val="double" w:color="auto" w:sz="6" w:space="0"/>
          <w:left w:val="single" w:color="auto" w:sz="18" w:space="0"/>
          <w:bottom w:val="nil"/>
          <w:right w:val="nil"/>
          <w:insideH w:val="nil"/>
          <w:insideV w:val="nil"/>
          <w:tl2br w:val="nil"/>
          <w:tr2bl w:val="nil"/>
        </w:tcBorders>
        <w:shd w:val="clear" w:color="auto" w:fill="CCE8CF"/>
      </w:tcPr>
    </w:tblStylePr>
    <w:tblStylePr w:type="firstCol">
      <w:rPr>
        <w:b/>
        <w:bCs/>
        <w:color w:val="CCE8CF"/>
      </w:rPr>
      <w:tblPr>
        <w:tblStyle w:val="6"/>
      </w:tblPr>
      <w:tcPr>
        <w:tcBorders>
          <w:top w:val="nil"/>
          <w:left w:val="single" w:color="auto" w:sz="18" w:space="0"/>
          <w:bottom w:val="nil"/>
          <w:right w:val="nil"/>
          <w:insideH w:val="nil"/>
          <w:insideV w:val="nil"/>
          <w:tl2br w:val="nil"/>
          <w:tr2bl w:val="nil"/>
        </w:tcBorders>
        <w:shd w:val="clear" w:color="auto" w:fill="000000"/>
      </w:tcPr>
    </w:tblStylePr>
    <w:tblStylePr w:type="lastCol">
      <w:rPr>
        <w:b/>
        <w:bCs/>
        <w:color w:val="CCE8CF"/>
      </w:rPr>
      <w:tblPr>
        <w:tblStyle w:val="6"/>
      </w:tblPr>
      <w:tcPr>
        <w:tcBorders>
          <w:top w:val="nil"/>
          <w:left w:val="nil"/>
          <w:bottom w:val="nil"/>
          <w:right w:val="nil"/>
          <w:insideH w:val="nil"/>
          <w:insideV w:val="nil"/>
          <w:tl2br w:val="nil"/>
          <w:tr2bl w:val="nil"/>
        </w:tcBorders>
        <w:shd w:val="clear" w:color="auto" w:fill="000000"/>
      </w:tcPr>
    </w:tblStylePr>
    <w:tblStylePr w:type="band1Vert">
      <w:tblPr>
        <w:tblStyle w:val="6"/>
      </w:tblPr>
      <w:tcPr>
        <w:tcBorders>
          <w:top w:val="nil"/>
          <w:left w:val="nil"/>
          <w:bottom w:val="nil"/>
          <w:right w:val="nil"/>
          <w:insideH w:val="nil"/>
          <w:insideV w:val="nil"/>
          <w:tl2br w:val="nil"/>
          <w:tr2bl w:val="nil"/>
        </w:tcBorders>
        <w:shd w:val="clear" w:color="auto" w:fill="9DD3A3"/>
      </w:tcPr>
    </w:tblStylePr>
    <w:tblStylePr w:type="band1Horz">
      <w:tblPr>
        <w:tblStyle w:val="6"/>
      </w:tblPr>
      <w:tcPr>
        <w:shd w:val="clear" w:color="auto" w:fill="9DD3A3"/>
      </w:tcPr>
    </w:tblStylePr>
    <w:tblStylePr w:type="neCell">
      <w:tblPr>
        <w:tblStyle w:val="6"/>
      </w:tblPr>
      <w:tcPr>
        <w:tcBorders>
          <w:top w:val="single" w:color="auto" w:sz="18" w:space="0"/>
          <w:left w:val="single" w:color="auto" w:sz="18" w:space="0"/>
          <w:bottom w:val="nil"/>
          <w:right w:val="nil"/>
          <w:insideH w:val="nil"/>
          <w:insideV w:val="nil"/>
          <w:tl2br w:val="nil"/>
          <w:tr2bl w:val="nil"/>
        </w:tcBorders>
      </w:tcPr>
    </w:tblStylePr>
    <w:tblStylePr w:type="nwCell">
      <w:rPr>
        <w:color w:val="CCE8CF"/>
      </w:rPr>
      <w:tblPr>
        <w:tblStyle w:val="6"/>
      </w:tblPr>
      <w:tcPr>
        <w:tcBorders>
          <w:top w:val="single" w:color="auto" w:sz="18" w:space="0"/>
          <w:left w:val="single" w:color="auto" w:sz="18" w:space="0"/>
          <w:bottom w:val="nil"/>
          <w:right w:val="nil"/>
          <w:insideH w:val="nil"/>
          <w:insideV w:val="nil"/>
          <w:tl2br w:val="nil"/>
          <w:tr2bl w:val="nil"/>
        </w:tcBorders>
      </w:tcPr>
    </w:tblStylePr>
  </w:style>
  <w:style w:type="table" w:customStyle="1" w:styleId="27">
    <w:name w:val="浅色底纹 - 强调文字颜色 11"/>
    <w:basedOn w:val="6"/>
    <w:uiPriority w:val="60"/>
    <w:rPr>
      <w:color w:val="365F91"/>
    </w:rPr>
    <w:tblPr>
      <w:tblStyle w:val="6"/>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blStyle w:val="6"/>
      </w:tbl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rPr>
      <w:tblPr>
        <w:tblStyle w:val="6"/>
      </w:tbl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6"/>
      </w:tblPr>
      <w:tcPr>
        <w:tcBorders>
          <w:top w:val="nil"/>
          <w:left w:val="nil"/>
          <w:bottom w:val="nil"/>
          <w:right w:val="nil"/>
          <w:insideH w:val="nil"/>
          <w:insideV w:val="nil"/>
          <w:tl2br w:val="nil"/>
          <w:tr2bl w:val="nil"/>
        </w:tcBorders>
        <w:shd w:val="clear" w:color="auto" w:fill="D3DFEE"/>
      </w:tcPr>
    </w:tblStylePr>
    <w:tblStylePr w:type="band1Horz">
      <w:tblPr>
        <w:tblStyle w:val="6"/>
      </w:tblPr>
      <w:tcPr>
        <w:tcBorders>
          <w:top w:val="nil"/>
          <w:left w:val="nil"/>
          <w:bottom w:val="nil"/>
          <w:right w:val="nil"/>
          <w:insideH w:val="nil"/>
          <w:insideV w:val="nil"/>
          <w:tl2br w:val="nil"/>
          <w:tr2bl w:val="nil"/>
        </w:tcBorders>
        <w:shd w:val="clear" w:color="auto" w:fill="D3DFEE"/>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Pages>
  <Words>266</Words>
  <Characters>1519</Characters>
  <Lines>12</Lines>
  <Paragraphs>3</Paragraphs>
  <TotalTime>303</TotalTime>
  <ScaleCrop>false</ScaleCrop>
  <LinksUpToDate>false</LinksUpToDate>
  <CharactersWithSpaces>1782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2011-10-10T01:53:00Z</dcterms:created>
  <dc:creator>孙大春</dc:creator>
  <cp:lastModifiedBy>胡泽俊</cp:lastModifiedBy>
  <cp:lastPrinted>2020-11-18T03:42:51Z</cp:lastPrinted>
  <dcterms:modified xsi:type="dcterms:W3CDTF">2021-03-30T01:57:38Z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