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方正小标宋简体" w:hAnsi="宋体fal" w:eastAsia="方正小标宋简体" w:cs="宋体fal"/>
          <w:b/>
          <w:bCs/>
          <w:sz w:val="24"/>
          <w:szCs w:val="24"/>
        </w:rPr>
      </w:pPr>
    </w:p>
    <w:p>
      <w:pPr>
        <w:jc w:val="center"/>
        <w:outlineLvl w:val="0"/>
        <w:rPr>
          <w:rStyle w:val="8"/>
          <w:rFonts w:ascii="宋体" w:hAnsi="宋体" w:cs="宋体"/>
          <w:b w:val="0"/>
          <w:color w:val="000000"/>
          <w:u w:val="single"/>
        </w:rPr>
      </w:pPr>
      <w:r>
        <w:rPr>
          <w:rFonts w:hint="eastAsia" w:ascii="方正小标宋简体" w:hAnsi="宋体fal" w:eastAsia="方正小标宋简体" w:cs="宋体fal"/>
          <w:b/>
          <w:bCs/>
          <w:sz w:val="36"/>
          <w:szCs w:val="36"/>
        </w:rPr>
        <w:t>特变电工新疆天池能源202</w:t>
      </w:r>
      <w:r>
        <w:rPr>
          <w:rFonts w:hint="eastAsia" w:ascii="方正小标宋简体" w:hAnsi="宋体fal" w:eastAsia="方正小标宋简体" w:cs="宋体fal"/>
          <w:b/>
          <w:bCs/>
          <w:sz w:val="36"/>
          <w:szCs w:val="36"/>
          <w:lang w:val="en-US" w:eastAsia="zh-CN"/>
        </w:rPr>
        <w:t>3</w:t>
      </w:r>
      <w:r>
        <w:rPr>
          <w:rFonts w:hint="eastAsia" w:ascii="方正小标宋简体" w:hAnsi="宋体fal" w:eastAsia="方正小标宋简体" w:cs="宋体fal"/>
          <w:b/>
          <w:bCs/>
          <w:sz w:val="36"/>
          <w:szCs w:val="36"/>
        </w:rPr>
        <w:t>届校园招聘简章</w:t>
      </w:r>
    </w:p>
    <w:p>
      <w:pPr>
        <w:pStyle w:val="11"/>
        <w:spacing w:line="440" w:lineRule="exact"/>
        <w:ind w:firstLine="482" w:firstLineChars="200"/>
        <w:rPr>
          <w:rFonts w:ascii="宋体" w:hAnsi="宋体" w:cs="宋体"/>
          <w:b/>
          <w:bCs/>
          <w:color w:val="000000"/>
          <w:sz w:val="24"/>
        </w:rPr>
      </w:pPr>
    </w:p>
    <w:p>
      <w:pPr>
        <w:pStyle w:val="11"/>
        <w:spacing w:line="440" w:lineRule="exact"/>
        <w:ind w:firstLine="482" w:firstLineChars="200"/>
        <w:rPr>
          <w:rFonts w:hint="eastAsia" w:ascii="宋体" w:hAnsi="宋体" w:cs="宋体"/>
          <w:color w:val="000000"/>
          <w:sz w:val="24"/>
        </w:rPr>
      </w:pPr>
      <w:r>
        <w:rPr>
          <w:rFonts w:hint="eastAsia" w:ascii="宋体" w:hAnsi="宋体" w:cs="宋体"/>
          <w:b/>
          <w:bCs/>
          <w:color w:val="000000"/>
          <w:sz w:val="24"/>
        </w:rPr>
        <w:t>特变电工</w:t>
      </w:r>
      <w:r>
        <w:rPr>
          <w:rFonts w:hint="eastAsia" w:ascii="宋体" w:hAnsi="宋体" w:cs="宋体"/>
          <w:color w:val="000000"/>
          <w:sz w:val="24"/>
        </w:rPr>
        <w:t>是为全球能源事业提供绿色清洁解决方案的服务商，公司致力于“绿色发展、低碳发展”，是国家级高新技术企业集团和中国大型能源装备制造企业集团。由全球</w:t>
      </w:r>
      <w:r>
        <w:rPr>
          <w:rFonts w:hint="eastAsia" w:ascii="宋体" w:hAnsi="宋体" w:cs="宋体"/>
          <w:b/>
          <w:bCs/>
          <w:color w:val="000000"/>
          <w:sz w:val="24"/>
        </w:rPr>
        <w:t>24</w:t>
      </w:r>
      <w:r>
        <w:rPr>
          <w:rFonts w:hint="eastAsia" w:ascii="宋体" w:hAnsi="宋体" w:cs="宋体"/>
          <w:color w:val="000000"/>
          <w:sz w:val="24"/>
        </w:rPr>
        <w:t>个国家</w:t>
      </w:r>
      <w:r>
        <w:rPr>
          <w:rFonts w:hint="eastAsia" w:ascii="宋体" w:hAnsi="宋体" w:cs="宋体"/>
          <w:b/>
          <w:bCs/>
          <w:color w:val="000000"/>
          <w:sz w:val="24"/>
        </w:rPr>
        <w:t>2.5</w:t>
      </w:r>
      <w:r>
        <w:rPr>
          <w:rFonts w:hint="eastAsia" w:ascii="宋体" w:hAnsi="宋体" w:cs="宋体"/>
          <w:color w:val="000000"/>
          <w:sz w:val="24"/>
        </w:rPr>
        <w:t>万余名员工组成，打造以能源为基础，输变电高端装备智造、硅基新能源、铝电子新材料“一高两新”三大国家战略性循环经济产业链，成功构建了特变电工（股票代码600089）、新疆众和（股票代码600888）、新特能源（股票代码HK1799）三家上市公司。发展成为我国输变电行业核心骨干企业，多晶硅新材料研制生产基地，大型铝电子新材料出口基地，大型太阳能光伏、风电系统集成商，</w:t>
      </w:r>
      <w:r>
        <w:rPr>
          <w:rFonts w:hint="eastAsia" w:ascii="宋体" w:hAnsi="宋体" w:cs="宋体"/>
          <w:b/>
          <w:bCs/>
          <w:color w:val="000000"/>
          <w:sz w:val="24"/>
        </w:rPr>
        <w:t>在国内外建设21个高端制造业产业基地。变压器年产量达2.6亿kVA，光伏EPC装机总量近21GW，均位居全球前列。特变电工集团综合实力位居世界机械500强第228位、中国机械工业</w:t>
      </w:r>
      <w:r>
        <w:rPr>
          <w:rFonts w:hint="eastAsia" w:ascii="宋体" w:hAnsi="宋体" w:cs="宋体"/>
          <w:b/>
          <w:bCs/>
          <w:color w:val="000000"/>
          <w:sz w:val="24"/>
          <w:lang w:eastAsia="zh-CN"/>
        </w:rPr>
        <w:t>500强</w:t>
      </w:r>
      <w:r>
        <w:rPr>
          <w:rFonts w:hint="eastAsia" w:ascii="宋体" w:hAnsi="宋体" w:cs="宋体"/>
          <w:b/>
          <w:bCs/>
          <w:color w:val="000000"/>
          <w:sz w:val="24"/>
        </w:rPr>
        <w:t>第9位、中国企业500强第313位、中国民营企业500强第122位、中国大企业创新100强第43位，连续五年上榜ENR全球百强工程承包商</w:t>
      </w:r>
      <w:r>
        <w:rPr>
          <w:rFonts w:hint="eastAsia" w:ascii="宋体" w:hAnsi="宋体" w:cs="宋体"/>
          <w:b w:val="0"/>
          <w:bCs w:val="0"/>
          <w:color w:val="000000"/>
          <w:sz w:val="24"/>
        </w:rPr>
        <w:t>。</w:t>
      </w:r>
      <w:r>
        <w:rPr>
          <w:rFonts w:hint="eastAsia" w:ascii="宋体" w:hAnsi="宋体" w:cs="宋体"/>
          <w:b w:val="0"/>
          <w:bCs w:val="0"/>
          <w:color w:val="000000"/>
          <w:sz w:val="24"/>
          <w:lang w:eastAsia="zh-CN"/>
        </w:rPr>
        <w:t>截至2022年</w:t>
      </w:r>
      <w:r>
        <w:rPr>
          <w:rFonts w:hint="eastAsia" w:ascii="宋体" w:hAnsi="宋体" w:cs="宋体"/>
          <w:color w:val="000000"/>
          <w:sz w:val="24"/>
        </w:rPr>
        <w:t xml:space="preserve">，全集团销售收入1182亿元，同比增长40%，其中新疆地区实现销售收入777亿元，同比增长36%。 </w:t>
      </w:r>
    </w:p>
    <w:p>
      <w:pPr>
        <w:pStyle w:val="11"/>
        <w:spacing w:line="440" w:lineRule="exact"/>
        <w:ind w:firstLine="482" w:firstLineChars="200"/>
        <w:rPr>
          <w:rFonts w:hint="eastAsia" w:ascii="宋体" w:hAnsi="宋体" w:eastAsia="宋体" w:cs="宋体"/>
          <w:b/>
          <w:bCs/>
          <w:color w:val="000000"/>
          <w:sz w:val="24"/>
          <w:lang w:eastAsia="zh-CN"/>
        </w:rPr>
      </w:pPr>
      <w:r>
        <w:rPr>
          <w:rFonts w:hint="eastAsia" w:ascii="宋体" w:hAnsi="宋体" w:cs="宋体"/>
          <w:b/>
          <w:bCs/>
          <w:color w:val="000000"/>
          <w:sz w:val="24"/>
        </w:rPr>
        <w:t>新疆天池能源有限责任公司</w:t>
      </w:r>
      <w:r>
        <w:rPr>
          <w:rFonts w:hint="eastAsia" w:ascii="宋体" w:hAnsi="宋体" w:cs="宋体"/>
          <w:b w:val="0"/>
          <w:bCs w:val="0"/>
          <w:color w:val="000000"/>
          <w:sz w:val="24"/>
        </w:rPr>
        <w:t>创建于2002年11月29日，是特变电工与新疆众和两家上市公司共同投资组建的大型能源企业，是特变电工响应自治区党委、政府号召，积极参与国家</w:t>
      </w:r>
      <w:r>
        <w:rPr>
          <w:rFonts w:hint="eastAsia" w:ascii="宋体" w:hAnsi="宋体" w:cs="宋体"/>
          <w:b/>
          <w:bCs/>
          <w:color w:val="000000"/>
          <w:sz w:val="24"/>
        </w:rPr>
        <w:t>“一带一路” “三基地一通道”建设</w:t>
      </w:r>
      <w:r>
        <w:rPr>
          <w:rFonts w:hint="eastAsia" w:ascii="宋体" w:hAnsi="宋体" w:cs="宋体"/>
          <w:b w:val="0"/>
          <w:bCs w:val="0"/>
          <w:color w:val="000000"/>
          <w:sz w:val="24"/>
        </w:rPr>
        <w:t>，实现新疆优势资源转换，做大做强新疆经济的重要组成部分；是特变电工走新型工业化发展道路，打造特变电工循环经济产业链的能源基石和保障；是特变电工积极参与</w:t>
      </w:r>
      <w:r>
        <w:rPr>
          <w:rFonts w:hint="eastAsia" w:ascii="宋体" w:hAnsi="宋体" w:cs="宋体"/>
          <w:b/>
          <w:bCs/>
          <w:color w:val="000000"/>
          <w:sz w:val="24"/>
        </w:rPr>
        <w:t>“疆电外送” “疆煤东运”</w:t>
      </w:r>
      <w:r>
        <w:rPr>
          <w:rFonts w:hint="eastAsia" w:ascii="宋体" w:hAnsi="宋体" w:cs="宋体"/>
          <w:b w:val="0"/>
          <w:bCs w:val="0"/>
          <w:color w:val="000000"/>
          <w:sz w:val="24"/>
        </w:rPr>
        <w:t>工程的重要能源基地。</w:t>
      </w:r>
      <w:r>
        <w:rPr>
          <w:rFonts w:hint="eastAsia" w:ascii="宋体" w:hAnsi="宋体" w:cs="宋体"/>
          <w:b/>
          <w:bCs/>
          <w:color w:val="000000"/>
          <w:sz w:val="24"/>
        </w:rPr>
        <w:t>是新疆煤炭行业首家国家级高新技术企业、国家首批两化融合试点单位、新疆煤炭行业首家获得ISO27001信息安全体系的企业、是自治区认定的企业技术中心、产学研联合开发示范基地、 “5G+工业互联网”智慧园区试点示范建设单位</w:t>
      </w:r>
      <w:r>
        <w:rPr>
          <w:rFonts w:hint="eastAsia" w:ascii="宋体" w:hAnsi="宋体" w:cs="宋体"/>
          <w:b/>
          <w:bCs/>
          <w:color w:val="000000"/>
          <w:sz w:val="24"/>
          <w:lang w:eastAsia="zh-CN"/>
        </w:rPr>
        <w:t>。</w:t>
      </w:r>
    </w:p>
    <w:p>
      <w:pPr>
        <w:pStyle w:val="11"/>
        <w:spacing w:line="440" w:lineRule="exact"/>
        <w:ind w:firstLine="480" w:firstLineChars="200"/>
        <w:rPr>
          <w:rFonts w:hint="eastAsia" w:ascii="宋体" w:hAnsi="宋体" w:cs="宋体"/>
          <w:color w:val="000000"/>
          <w:sz w:val="24"/>
        </w:rPr>
      </w:pPr>
      <w:r>
        <w:rPr>
          <w:rFonts w:hint="eastAsia" w:ascii="宋体" w:hAnsi="宋体" w:cs="宋体"/>
          <w:color w:val="000000"/>
          <w:sz w:val="24"/>
          <w:lang w:val="en-US" w:eastAsia="zh-CN"/>
        </w:rPr>
        <w:t xml:space="preserve"> </w:t>
      </w:r>
      <w:r>
        <w:rPr>
          <w:rFonts w:hint="eastAsia" w:ascii="宋体" w:hAnsi="宋体" w:cs="宋体"/>
          <w:color w:val="000000"/>
          <w:sz w:val="24"/>
        </w:rPr>
        <w:t>公司拥有准东大井矿区南露天煤矿、北露天煤矿，西黑山矿区将军戈壁一、二号露天煤矿等四个煤矿项目，煤炭资源储量</w:t>
      </w:r>
      <w:r>
        <w:rPr>
          <w:rFonts w:hint="eastAsia" w:ascii="宋体" w:hAnsi="宋体" w:cs="宋体"/>
          <w:b/>
          <w:bCs/>
          <w:color w:val="000000"/>
          <w:sz w:val="24"/>
        </w:rPr>
        <w:t>120</w:t>
      </w:r>
      <w:r>
        <w:rPr>
          <w:rFonts w:hint="eastAsia" w:ascii="宋体" w:hAnsi="宋体" w:cs="宋体"/>
          <w:color w:val="000000"/>
          <w:sz w:val="24"/>
        </w:rPr>
        <w:t>亿吨，总计规划产能2亿吨/年，已形成产能7000万吨/年，建设产能400万吨/年；拥有准东五彩湾北一电厂2X660MW、昌吉2×350MW热电联产两个电厂项目</w:t>
      </w:r>
      <w:r>
        <w:rPr>
          <w:rFonts w:hint="eastAsia" w:ascii="宋体" w:hAnsi="宋体" w:cs="宋体"/>
          <w:color w:val="000000"/>
          <w:sz w:val="24"/>
          <w:lang w:eastAsia="zh-CN"/>
        </w:rPr>
        <w:t>，</w:t>
      </w:r>
      <w:r>
        <w:rPr>
          <w:rFonts w:hint="eastAsia" w:ascii="宋体" w:hAnsi="宋体" w:cs="宋体"/>
          <w:color w:val="000000"/>
          <w:sz w:val="24"/>
        </w:rPr>
        <w:t>新建准东2X660MW、若羌2×350MW热电联产两个电厂项目，总装机规模</w:t>
      </w:r>
      <w:r>
        <w:rPr>
          <w:rFonts w:hint="eastAsia" w:ascii="宋体" w:hAnsi="宋体" w:cs="宋体"/>
          <w:b/>
          <w:bCs/>
          <w:color w:val="000000"/>
          <w:sz w:val="24"/>
        </w:rPr>
        <w:t>404</w:t>
      </w:r>
      <w:r>
        <w:rPr>
          <w:rFonts w:hint="eastAsia" w:ascii="宋体" w:hAnsi="宋体" w:cs="宋体"/>
          <w:b/>
          <w:bCs/>
          <w:color w:val="000000"/>
          <w:sz w:val="24"/>
          <w:lang w:eastAsia="zh-CN"/>
        </w:rPr>
        <w:t>万千瓦</w:t>
      </w:r>
      <w:r>
        <w:rPr>
          <w:rFonts w:hint="eastAsia" w:ascii="宋体" w:hAnsi="宋体" w:cs="宋体"/>
          <w:color w:val="000000"/>
          <w:sz w:val="24"/>
        </w:rPr>
        <w:t>；在两矿拥有三条铁路环线和两个货场，并建有两个煤炭物流储运基地和四个合营物流站。</w:t>
      </w:r>
    </w:p>
    <w:p>
      <w:pPr>
        <w:pStyle w:val="11"/>
        <w:spacing w:line="440" w:lineRule="exact"/>
        <w:ind w:firstLine="482" w:firstLineChars="200"/>
        <w:rPr>
          <w:rFonts w:ascii="宋体" w:hAnsi="宋体" w:cs="宋体"/>
          <w:b/>
          <w:color w:val="000000"/>
          <w:sz w:val="24"/>
        </w:rPr>
      </w:pPr>
      <w:r>
        <w:rPr>
          <w:rFonts w:hint="eastAsia" w:ascii="宋体" w:hAnsi="宋体" w:cs="宋体"/>
          <w:b/>
          <w:color w:val="000000"/>
          <w:sz w:val="24"/>
        </w:rPr>
        <w:t>煤炭板块：</w:t>
      </w:r>
    </w:p>
    <w:p>
      <w:pPr>
        <w:pStyle w:val="11"/>
        <w:spacing w:line="440" w:lineRule="exact"/>
        <w:ind w:firstLine="482" w:firstLineChars="200"/>
        <w:rPr>
          <w:rFonts w:ascii="宋体" w:hAnsi="宋体" w:cs="宋体"/>
          <w:b/>
          <w:bCs w:val="0"/>
          <w:color w:val="auto"/>
          <w:sz w:val="24"/>
        </w:rPr>
      </w:pPr>
      <w:bookmarkStart w:id="0" w:name="_Hlk96342574"/>
      <w:r>
        <w:rPr>
          <w:rFonts w:hint="eastAsia" w:ascii="宋体" w:hAnsi="宋体" w:cs="宋体"/>
          <w:b/>
          <w:color w:val="000000"/>
          <w:sz w:val="24"/>
        </w:rPr>
        <w:t>·</w:t>
      </w:r>
      <w:bookmarkEnd w:id="0"/>
      <w:r>
        <w:rPr>
          <w:rFonts w:hint="eastAsia" w:ascii="宋体" w:hAnsi="宋体" w:cs="宋体"/>
          <w:b/>
          <w:color w:val="000000"/>
          <w:sz w:val="24"/>
        </w:rPr>
        <w:t>南露天煤矿</w:t>
      </w:r>
      <w:r>
        <w:rPr>
          <w:rFonts w:hint="eastAsia" w:ascii="宋体" w:hAnsi="宋体" w:cs="宋体"/>
          <w:bCs/>
          <w:color w:val="000000"/>
          <w:sz w:val="24"/>
        </w:rPr>
        <w:t>位于准东煤田大井矿区，拥有资源储量</w:t>
      </w:r>
      <w:r>
        <w:rPr>
          <w:rFonts w:hint="eastAsia" w:ascii="宋体" w:hAnsi="宋体" w:cs="宋体"/>
          <w:b/>
          <w:color w:val="000000"/>
          <w:sz w:val="24"/>
        </w:rPr>
        <w:t>33.8</w:t>
      </w:r>
      <w:r>
        <w:rPr>
          <w:rFonts w:hint="eastAsia" w:ascii="宋体" w:hAnsi="宋体" w:cs="宋体"/>
          <w:bCs/>
          <w:color w:val="000000"/>
          <w:sz w:val="24"/>
        </w:rPr>
        <w:t>亿吨，已建成拥有</w:t>
      </w:r>
      <w:r>
        <w:rPr>
          <w:rFonts w:hint="eastAsia" w:ascii="宋体" w:hAnsi="宋体" w:cs="宋体"/>
          <w:b/>
          <w:color w:val="000000"/>
          <w:sz w:val="24"/>
        </w:rPr>
        <w:t>4000</w:t>
      </w:r>
      <w:r>
        <w:rPr>
          <w:rFonts w:hint="eastAsia" w:ascii="宋体" w:hAnsi="宋体" w:cs="宋体"/>
          <w:bCs/>
          <w:color w:val="000000"/>
          <w:sz w:val="24"/>
        </w:rPr>
        <w:t>万吨/年生产能力的智慧矿山、绿色矿山、人文矿山露天煤矿生产系统，</w:t>
      </w:r>
      <w:r>
        <w:rPr>
          <w:rFonts w:hint="eastAsia" w:ascii="宋体" w:hAnsi="宋体" w:cs="宋体"/>
          <w:b/>
          <w:sz w:val="24"/>
          <w:highlight w:val="none"/>
        </w:rPr>
        <w:t>是</w:t>
      </w:r>
      <w:r>
        <w:rPr>
          <w:rFonts w:hint="eastAsia" w:ascii="宋体" w:hAnsi="宋体" w:cs="宋体"/>
          <w:b/>
          <w:sz w:val="24"/>
          <w:highlight w:val="none"/>
          <w:lang w:val="en-US" w:eastAsia="zh-CN"/>
        </w:rPr>
        <w:t>世界</w:t>
      </w:r>
      <w:r>
        <w:rPr>
          <w:rFonts w:hint="eastAsia" w:ascii="宋体" w:hAnsi="宋体" w:cs="宋体"/>
          <w:b/>
          <w:sz w:val="24"/>
          <w:highlight w:val="none"/>
        </w:rPr>
        <w:t>最大</w:t>
      </w:r>
      <w:r>
        <w:rPr>
          <w:rFonts w:hint="eastAsia" w:ascii="宋体" w:hAnsi="宋体" w:cs="宋体"/>
          <w:b/>
          <w:sz w:val="24"/>
          <w:highlight w:val="none"/>
          <w:lang w:val="en-US" w:eastAsia="zh-CN"/>
        </w:rPr>
        <w:t>单体</w:t>
      </w:r>
      <w:r>
        <w:rPr>
          <w:rFonts w:hint="eastAsia" w:ascii="宋体" w:hAnsi="宋体" w:cs="宋体"/>
          <w:b/>
          <w:sz w:val="24"/>
          <w:highlight w:val="none"/>
        </w:rPr>
        <w:t>露天煤矿</w:t>
      </w:r>
      <w:r>
        <w:rPr>
          <w:rFonts w:hint="eastAsia" w:ascii="宋体" w:hAnsi="宋体" w:cs="宋体"/>
          <w:b/>
          <w:sz w:val="24"/>
          <w:highlight w:val="none"/>
          <w:lang w:eastAsia="zh-CN"/>
        </w:rPr>
        <w:t>。</w:t>
      </w:r>
    </w:p>
    <w:p>
      <w:pPr>
        <w:pStyle w:val="11"/>
        <w:spacing w:line="440" w:lineRule="exact"/>
        <w:ind w:firstLine="482" w:firstLineChars="200"/>
        <w:rPr>
          <w:rFonts w:ascii="宋体" w:hAnsi="宋体" w:cs="宋体"/>
          <w:b/>
          <w:color w:val="auto"/>
          <w:sz w:val="24"/>
        </w:rPr>
      </w:pPr>
      <w:r>
        <w:rPr>
          <w:rFonts w:hint="eastAsia" w:ascii="宋体" w:hAnsi="宋体" w:cs="宋体"/>
          <w:b/>
          <w:color w:val="000000"/>
          <w:sz w:val="24"/>
        </w:rPr>
        <w:t>·将军戈壁二号露天煤矿</w:t>
      </w:r>
      <w:r>
        <w:rPr>
          <w:rFonts w:hint="eastAsia" w:ascii="宋体" w:hAnsi="宋体" w:cs="宋体"/>
          <w:bCs/>
          <w:color w:val="000000"/>
          <w:sz w:val="24"/>
        </w:rPr>
        <w:t>位于准东煤田西黑山矿区，拥有资源储量</w:t>
      </w:r>
      <w:r>
        <w:rPr>
          <w:rFonts w:hint="eastAsia" w:ascii="宋体" w:hAnsi="宋体" w:cs="宋体"/>
          <w:b/>
          <w:color w:val="000000"/>
          <w:sz w:val="24"/>
        </w:rPr>
        <w:t>45.73</w:t>
      </w:r>
      <w:r>
        <w:rPr>
          <w:rFonts w:hint="eastAsia" w:ascii="宋体" w:hAnsi="宋体" w:cs="宋体"/>
          <w:bCs/>
          <w:color w:val="000000"/>
          <w:sz w:val="24"/>
        </w:rPr>
        <w:t>亿吨，已通过自治区</w:t>
      </w:r>
      <w:r>
        <w:rPr>
          <w:rFonts w:hint="eastAsia" w:ascii="宋体" w:hAnsi="宋体" w:cs="宋体"/>
          <w:b/>
          <w:color w:val="000000"/>
          <w:sz w:val="24"/>
          <w:lang w:val="en-US" w:eastAsia="zh-CN"/>
        </w:rPr>
        <w:t>30</w:t>
      </w:r>
      <w:r>
        <w:rPr>
          <w:rFonts w:hint="eastAsia" w:ascii="宋体" w:hAnsi="宋体" w:cs="宋体"/>
          <w:b/>
          <w:color w:val="000000"/>
          <w:sz w:val="24"/>
        </w:rPr>
        <w:t>00</w:t>
      </w:r>
      <w:r>
        <w:rPr>
          <w:rFonts w:hint="eastAsia" w:ascii="宋体" w:hAnsi="宋体" w:cs="宋体"/>
          <w:bCs/>
          <w:color w:val="000000"/>
          <w:sz w:val="24"/>
        </w:rPr>
        <w:t>万吨/年的核定，</w:t>
      </w:r>
      <w:r>
        <w:rPr>
          <w:rFonts w:hint="eastAsia" w:ascii="宋体" w:hAnsi="宋体" w:cs="宋体"/>
          <w:b w:val="0"/>
          <w:bCs/>
          <w:color w:val="000000"/>
          <w:sz w:val="24"/>
        </w:rPr>
        <w:t>是</w:t>
      </w:r>
      <w:r>
        <w:rPr>
          <w:rFonts w:hint="eastAsia" w:ascii="宋体" w:hAnsi="宋体" w:cs="宋体"/>
          <w:b/>
          <w:color w:val="auto"/>
          <w:sz w:val="24"/>
        </w:rPr>
        <w:t>新疆第二大的露天煤矿。</w:t>
      </w:r>
    </w:p>
    <w:p>
      <w:pPr>
        <w:pStyle w:val="11"/>
        <w:spacing w:line="440" w:lineRule="exact"/>
        <w:ind w:firstLine="482" w:firstLineChars="200"/>
        <w:rPr>
          <w:rFonts w:hint="eastAsia" w:ascii="宋体" w:hAnsi="宋体" w:cs="宋体"/>
          <w:bCs/>
          <w:color w:val="000000"/>
          <w:sz w:val="24"/>
          <w:highlight w:val="none"/>
        </w:rPr>
      </w:pPr>
      <w:r>
        <w:rPr>
          <w:rFonts w:hint="eastAsia" w:ascii="宋体" w:hAnsi="宋体" w:cs="宋体"/>
          <w:b/>
          <w:color w:val="000000"/>
          <w:sz w:val="24"/>
          <w:highlight w:val="none"/>
        </w:rPr>
        <w:t>·北露天煤矿</w:t>
      </w:r>
      <w:r>
        <w:rPr>
          <w:rFonts w:hint="eastAsia" w:ascii="宋体" w:hAnsi="宋体" w:cs="宋体"/>
          <w:bCs/>
          <w:color w:val="000000"/>
          <w:sz w:val="24"/>
          <w:highlight w:val="none"/>
        </w:rPr>
        <w:t>位于准东煤田大井矿区，规划建设规模</w:t>
      </w:r>
      <w:r>
        <w:rPr>
          <w:rFonts w:hint="eastAsia" w:ascii="宋体" w:hAnsi="宋体" w:cs="宋体"/>
          <w:b/>
          <w:color w:val="000000"/>
          <w:sz w:val="24"/>
          <w:highlight w:val="none"/>
        </w:rPr>
        <w:t>2000</w:t>
      </w:r>
      <w:r>
        <w:rPr>
          <w:rFonts w:hint="eastAsia" w:ascii="宋体" w:hAnsi="宋体" w:cs="宋体"/>
          <w:bCs/>
          <w:color w:val="000000"/>
          <w:sz w:val="24"/>
          <w:highlight w:val="none"/>
        </w:rPr>
        <w:t>万吨/年，其中一期建设规模</w:t>
      </w:r>
      <w:r>
        <w:rPr>
          <w:rFonts w:hint="eastAsia" w:ascii="宋体" w:hAnsi="宋体" w:cs="宋体"/>
          <w:b/>
          <w:color w:val="000000"/>
          <w:sz w:val="24"/>
          <w:highlight w:val="none"/>
        </w:rPr>
        <w:t>1000</w:t>
      </w:r>
      <w:r>
        <w:rPr>
          <w:rFonts w:hint="eastAsia" w:ascii="宋体" w:hAnsi="宋体" w:cs="宋体"/>
          <w:bCs/>
          <w:color w:val="000000"/>
          <w:sz w:val="24"/>
          <w:highlight w:val="none"/>
        </w:rPr>
        <w:t>万吨/年，</w:t>
      </w:r>
      <w:r>
        <w:rPr>
          <w:rFonts w:hint="eastAsia" w:ascii="宋体" w:hAnsi="宋体" w:cs="宋体"/>
          <w:bCs/>
          <w:color w:val="000000"/>
          <w:sz w:val="24"/>
          <w:highlight w:val="none"/>
          <w:lang w:val="en-US" w:eastAsia="zh-CN"/>
        </w:rPr>
        <w:t>作为储备资源适时开采</w:t>
      </w:r>
      <w:r>
        <w:rPr>
          <w:rFonts w:hint="eastAsia" w:ascii="宋体" w:hAnsi="宋体" w:cs="宋体"/>
          <w:bCs/>
          <w:color w:val="000000"/>
          <w:sz w:val="24"/>
          <w:highlight w:val="none"/>
        </w:rPr>
        <w:t>。</w:t>
      </w:r>
    </w:p>
    <w:p>
      <w:pPr>
        <w:pStyle w:val="11"/>
        <w:spacing w:line="440" w:lineRule="exact"/>
        <w:ind w:firstLine="482" w:firstLineChars="200"/>
        <w:rPr>
          <w:rFonts w:ascii="宋体" w:hAnsi="宋体" w:cs="宋体"/>
          <w:b/>
          <w:color w:val="000000"/>
          <w:sz w:val="24"/>
        </w:rPr>
      </w:pPr>
      <w:r>
        <w:rPr>
          <w:rFonts w:hint="eastAsia" w:ascii="宋体" w:hAnsi="宋体" w:cs="宋体"/>
          <w:b/>
          <w:color w:val="000000"/>
          <w:sz w:val="24"/>
        </w:rPr>
        <w:t>·将军戈壁一号露天煤矿</w:t>
      </w:r>
      <w:r>
        <w:rPr>
          <w:rFonts w:hint="eastAsia" w:ascii="宋体" w:hAnsi="宋体" w:cs="宋体"/>
          <w:bCs/>
          <w:color w:val="000000"/>
          <w:sz w:val="24"/>
        </w:rPr>
        <w:t>位于准东煤田西黑山矿区，规划建设规模</w:t>
      </w:r>
      <w:r>
        <w:rPr>
          <w:rFonts w:hint="eastAsia" w:ascii="宋体" w:hAnsi="宋体" w:cs="宋体"/>
          <w:b/>
          <w:color w:val="000000"/>
          <w:sz w:val="24"/>
        </w:rPr>
        <w:t>2000</w:t>
      </w:r>
      <w:r>
        <w:rPr>
          <w:rFonts w:hint="eastAsia" w:ascii="宋体" w:hAnsi="宋体" w:cs="宋体"/>
          <w:bCs/>
          <w:color w:val="000000"/>
          <w:sz w:val="24"/>
        </w:rPr>
        <w:t>万吨/年，一期建设规模</w:t>
      </w:r>
      <w:r>
        <w:rPr>
          <w:rFonts w:hint="eastAsia" w:ascii="宋体" w:hAnsi="宋体" w:cs="宋体"/>
          <w:b/>
          <w:color w:val="000000"/>
          <w:sz w:val="24"/>
        </w:rPr>
        <w:t>400</w:t>
      </w:r>
      <w:r>
        <w:rPr>
          <w:rFonts w:hint="eastAsia" w:ascii="宋体" w:hAnsi="宋体" w:cs="宋体"/>
          <w:bCs/>
          <w:color w:val="000000"/>
          <w:sz w:val="24"/>
        </w:rPr>
        <w:t>万吨/年，正在开展前期工作。</w:t>
      </w:r>
    </w:p>
    <w:p>
      <w:pPr>
        <w:pStyle w:val="4"/>
        <w:widowControl w:val="0"/>
        <w:spacing w:beforeAutospacing="0" w:afterAutospacing="0" w:line="440" w:lineRule="exact"/>
        <w:ind w:firstLine="482" w:firstLineChars="200"/>
        <w:rPr>
          <w:rFonts w:ascii="宋体" w:hAnsi="宋体" w:cs="宋体"/>
          <w:b/>
        </w:rPr>
      </w:pPr>
      <w:r>
        <w:rPr>
          <w:rFonts w:hint="eastAsia" w:ascii="宋体" w:hAnsi="宋体" w:cs="宋体"/>
          <w:b/>
        </w:rPr>
        <w:t>热电板块：</w:t>
      </w:r>
    </w:p>
    <w:p>
      <w:pPr>
        <w:pStyle w:val="4"/>
        <w:widowControl w:val="0"/>
        <w:spacing w:beforeAutospacing="0" w:afterAutospacing="0" w:line="440" w:lineRule="exact"/>
        <w:ind w:firstLine="482" w:firstLineChars="200"/>
        <w:rPr>
          <w:rFonts w:ascii="宋体" w:hAnsi="宋体" w:cs="宋体"/>
          <w:bCs/>
        </w:rPr>
      </w:pPr>
      <w:r>
        <w:rPr>
          <w:rFonts w:hint="eastAsia" w:ascii="宋体" w:hAnsi="宋体" w:cs="宋体"/>
          <w:b/>
        </w:rPr>
        <w:t>·昌吉热电厂：</w:t>
      </w:r>
      <w:r>
        <w:rPr>
          <w:rFonts w:hint="eastAsia" w:ascii="宋体" w:hAnsi="宋体" w:cs="宋体"/>
          <w:bCs/>
        </w:rPr>
        <w:t>天池能源公司积极落实自治区党委、人民政府改善基础设施条件，实施优势资源循环转换战略，按照国家最新环保节能要求，投资31亿元建设天池能源昌吉2×350MW热电联产项目，具有节水、节地、节能、减排、环保、绿色的特点，2017年双机投产。解决昌吉市高新区及西南部供电问题，并为昌吉市城南新区、闽昌工业园、三工镇火车物流园及高新区约</w:t>
      </w:r>
      <w:r>
        <w:rPr>
          <w:rFonts w:hint="eastAsia" w:ascii="宋体" w:hAnsi="宋体" w:cs="宋体"/>
          <w:b/>
          <w:bCs w:val="0"/>
        </w:rPr>
        <w:t>30</w:t>
      </w:r>
      <w:r>
        <w:rPr>
          <w:rFonts w:hint="eastAsia" w:ascii="宋体" w:hAnsi="宋体" w:cs="宋体"/>
          <w:bCs/>
        </w:rPr>
        <w:t>万人口提供冬季供暖，替代供热范围内99台小锅炉，有效减少昌吉市区粉尘、二氧化硫、氮氧化物等污染物的排放量，成为新疆各城市中的绿色环保标杆电厂，为环境保护做出贡献</w:t>
      </w:r>
      <w:r>
        <w:rPr>
          <w:rFonts w:hint="eastAsia" w:ascii="宋体" w:hAnsi="宋体" w:cs="宋体"/>
          <w:bCs/>
          <w:lang w:eastAsia="zh-CN"/>
        </w:rPr>
        <w:t>。</w:t>
      </w:r>
    </w:p>
    <w:p>
      <w:pPr>
        <w:pStyle w:val="4"/>
        <w:widowControl w:val="0"/>
        <w:spacing w:beforeAutospacing="0" w:afterAutospacing="0" w:line="440" w:lineRule="exact"/>
        <w:ind w:firstLine="482" w:firstLineChars="200"/>
        <w:rPr>
          <w:rFonts w:ascii="宋体" w:hAnsi="宋体" w:cs="宋体"/>
          <w:bCs/>
        </w:rPr>
      </w:pPr>
      <w:r>
        <w:rPr>
          <w:rFonts w:hint="eastAsia" w:ascii="宋体" w:hAnsi="宋体" w:cs="宋体"/>
          <w:b/>
        </w:rPr>
        <w:t>·北一电厂：</w:t>
      </w:r>
      <w:r>
        <w:rPr>
          <w:rFonts w:hint="eastAsia" w:ascii="宋体" w:hAnsi="宋体" w:cs="宋体"/>
          <w:bCs/>
        </w:rPr>
        <w:t>新疆准东五彩湾北一电厂2×660MW项目计划总投资</w:t>
      </w:r>
      <w:r>
        <w:rPr>
          <w:rFonts w:hint="eastAsia" w:ascii="宋体" w:hAnsi="宋体" w:cs="宋体"/>
          <w:b/>
        </w:rPr>
        <w:t>45</w:t>
      </w:r>
      <w:r>
        <w:rPr>
          <w:rFonts w:hint="eastAsia" w:ascii="宋体" w:hAnsi="宋体" w:cs="宋体"/>
          <w:bCs/>
        </w:rPr>
        <w:t>亿元，是新疆本土企业特变电工为响应国家</w:t>
      </w:r>
      <w:r>
        <w:rPr>
          <w:rFonts w:hint="eastAsia" w:ascii="宋体" w:hAnsi="宋体" w:cs="宋体"/>
          <w:b/>
          <w:bCs w:val="0"/>
        </w:rPr>
        <w:t>“疆电外送”</w:t>
      </w:r>
      <w:r>
        <w:rPr>
          <w:rFonts w:hint="eastAsia" w:ascii="宋体" w:hAnsi="宋体" w:cs="宋体"/>
          <w:bCs/>
        </w:rPr>
        <w:t>及</w:t>
      </w:r>
      <w:r>
        <w:rPr>
          <w:rFonts w:hint="eastAsia" w:ascii="宋体" w:hAnsi="宋体" w:cs="宋体"/>
          <w:b/>
          <w:bCs w:val="0"/>
        </w:rPr>
        <w:t>“一带一路”</w:t>
      </w:r>
      <w:r>
        <w:rPr>
          <w:rFonts w:hint="eastAsia" w:ascii="宋体" w:hAnsi="宋体" w:cs="宋体"/>
          <w:bCs/>
        </w:rPr>
        <w:t>战略而建设的重点项目，是特变电工参与</w:t>
      </w:r>
      <w:r>
        <w:rPr>
          <w:rFonts w:hint="eastAsia" w:ascii="宋体" w:hAnsi="宋体" w:cs="宋体"/>
          <w:b/>
          <w:bCs w:val="0"/>
        </w:rPr>
        <w:t>国家“煤从空中走，电送全中国”工程配套电源</w:t>
      </w:r>
      <w:r>
        <w:rPr>
          <w:rFonts w:hint="eastAsia" w:ascii="宋体" w:hAnsi="宋体" w:cs="宋体"/>
          <w:bCs/>
        </w:rPr>
        <w:t>项目，优势资源循环转换战略的重点工程</w:t>
      </w:r>
      <w:r>
        <w:rPr>
          <w:rFonts w:hint="eastAsia" w:ascii="宋体" w:hAnsi="宋体" w:cs="宋体"/>
          <w:bCs/>
          <w:lang w:eastAsia="zh-CN"/>
        </w:rPr>
        <w:t>，</w:t>
      </w:r>
      <w:r>
        <w:rPr>
          <w:rFonts w:hint="eastAsia" w:ascii="宋体" w:hAnsi="宋体" w:cs="宋体"/>
          <w:bCs/>
        </w:rPr>
        <w:t>获评2021年度</w:t>
      </w:r>
      <w:r>
        <w:rPr>
          <w:rFonts w:hint="eastAsia" w:ascii="宋体" w:hAnsi="宋体" w:cs="宋体"/>
          <w:b/>
          <w:bCs w:val="0"/>
        </w:rPr>
        <w:t>中国电力优质工程奖</w:t>
      </w:r>
      <w:r>
        <w:rPr>
          <w:rFonts w:hint="eastAsia" w:ascii="宋体" w:hAnsi="宋体" w:cs="宋体"/>
          <w:b w:val="0"/>
          <w:bCs/>
        </w:rPr>
        <w:t>、</w:t>
      </w:r>
      <w:r>
        <w:rPr>
          <w:rFonts w:hint="eastAsia" w:ascii="宋体" w:hAnsi="宋体" w:cs="宋体"/>
          <w:b/>
          <w:bCs w:val="0"/>
        </w:rPr>
        <w:t>国家优质工程奖</w:t>
      </w:r>
      <w:r>
        <w:rPr>
          <w:rFonts w:hint="eastAsia" w:ascii="宋体" w:hAnsi="宋体" w:cs="宋体"/>
          <w:bCs/>
        </w:rPr>
        <w:t>（新疆煤电企业唯一获此殊荣的国家优质工程）。</w:t>
      </w:r>
    </w:p>
    <w:p>
      <w:pPr>
        <w:pStyle w:val="11"/>
        <w:spacing w:line="440" w:lineRule="exact"/>
        <w:ind w:firstLine="482" w:firstLineChars="200"/>
        <w:rPr>
          <w:rFonts w:hint="eastAsia" w:ascii="宋体" w:hAnsi="宋体" w:cs="宋体"/>
          <w:b/>
          <w:color w:val="000000"/>
          <w:sz w:val="24"/>
        </w:rPr>
      </w:pPr>
      <w:r>
        <w:rPr>
          <w:rFonts w:hint="eastAsia" w:ascii="宋体" w:hAnsi="宋体" w:cs="宋体"/>
          <w:b/>
          <w:color w:val="000000"/>
          <w:sz w:val="24"/>
        </w:rPr>
        <w:t>销售物流板块：</w:t>
      </w:r>
    </w:p>
    <w:p>
      <w:pPr>
        <w:pStyle w:val="11"/>
        <w:spacing w:line="440" w:lineRule="exact"/>
        <w:ind w:firstLine="480" w:firstLineChars="200"/>
        <w:rPr>
          <w:rFonts w:ascii="宋体" w:hAnsi="宋体" w:cs="宋体"/>
          <w:bCs/>
          <w:color w:val="000000"/>
          <w:sz w:val="24"/>
        </w:rPr>
      </w:pPr>
      <w:r>
        <w:rPr>
          <w:rFonts w:hint="eastAsia" w:ascii="宋体" w:hAnsi="宋体" w:cs="宋体"/>
          <w:bCs/>
          <w:color w:val="000000"/>
          <w:sz w:val="24"/>
        </w:rPr>
        <w:t>天池能源在全疆率先推行安全、环保、经济的廊道运输和铁路集装箱运输模式。目前，天池能源两矿铁路环线日装车能力达到</w:t>
      </w:r>
      <w:r>
        <w:rPr>
          <w:rFonts w:hint="eastAsia" w:ascii="宋体" w:hAnsi="宋体" w:cs="宋体"/>
          <w:b/>
          <w:color w:val="000000"/>
          <w:sz w:val="24"/>
          <w:highlight w:val="none"/>
          <w:lang w:val="en-US" w:eastAsia="zh-CN"/>
        </w:rPr>
        <w:t>50</w:t>
      </w:r>
      <w:r>
        <w:rPr>
          <w:rFonts w:hint="eastAsia" w:ascii="宋体" w:hAnsi="宋体" w:cs="宋体"/>
          <w:bCs/>
          <w:color w:val="000000"/>
          <w:sz w:val="24"/>
        </w:rPr>
        <w:t>列，已开通运营的站点共有呼图壁、玛纳斯、石河子、奎屯西、乌苏、博乐等</w:t>
      </w:r>
      <w:r>
        <w:rPr>
          <w:rFonts w:hint="eastAsia" w:ascii="宋体" w:hAnsi="宋体" w:cs="宋体"/>
          <w:b/>
          <w:color w:val="000000"/>
          <w:sz w:val="24"/>
          <w:lang w:val="en-US" w:eastAsia="zh-CN"/>
        </w:rPr>
        <w:t>29</w:t>
      </w:r>
      <w:r>
        <w:rPr>
          <w:rFonts w:hint="eastAsia" w:ascii="宋体" w:hAnsi="宋体" w:cs="宋体"/>
          <w:bCs/>
          <w:color w:val="000000"/>
          <w:sz w:val="24"/>
        </w:rPr>
        <w:t>个站点，辐射南北疆、河西走廊总计</w:t>
      </w:r>
      <w:r>
        <w:rPr>
          <w:rFonts w:hint="eastAsia" w:ascii="宋体" w:hAnsi="宋体" w:cs="宋体"/>
          <w:b/>
          <w:color w:val="000000"/>
          <w:sz w:val="24"/>
          <w:lang w:val="en-US" w:eastAsia="zh-CN"/>
        </w:rPr>
        <w:t>100</w:t>
      </w:r>
      <w:r>
        <w:rPr>
          <w:rFonts w:hint="eastAsia" w:ascii="宋体" w:hAnsi="宋体" w:cs="宋体"/>
          <w:bCs/>
          <w:color w:val="000000"/>
          <w:sz w:val="24"/>
        </w:rPr>
        <w:t>余家客户，持续为打赢蓝天保卫战和地方经济发展作出积极努力。</w:t>
      </w:r>
    </w:p>
    <w:p>
      <w:pPr>
        <w:pStyle w:val="4"/>
        <w:widowControl w:val="0"/>
        <w:spacing w:beforeAutospacing="0" w:afterAutospacing="0" w:line="440" w:lineRule="exact"/>
        <w:ind w:firstLine="482" w:firstLineChars="200"/>
        <w:rPr>
          <w:rFonts w:ascii="宋体" w:hAnsi="宋体" w:cs="宋体"/>
          <w:b/>
          <w:bCs/>
          <w:szCs w:val="21"/>
        </w:rPr>
      </w:pPr>
      <w:r>
        <w:rPr>
          <w:rFonts w:hint="eastAsia" w:ascii="宋体" w:hAnsi="宋体" w:cs="宋体"/>
          <w:b/>
          <w:bCs/>
          <w:szCs w:val="21"/>
        </w:rPr>
        <w:t>科研实力：</w:t>
      </w:r>
    </w:p>
    <w:p>
      <w:pPr>
        <w:pStyle w:val="4"/>
        <w:widowControl w:val="0"/>
        <w:spacing w:beforeAutospacing="0" w:afterAutospacing="0" w:line="440" w:lineRule="exact"/>
        <w:ind w:firstLine="480" w:firstLineChars="200"/>
        <w:rPr>
          <w:rFonts w:ascii="宋体" w:hAnsi="宋体" w:cs="宋体"/>
          <w:b/>
          <w:bCs/>
          <w:szCs w:val="21"/>
        </w:rPr>
      </w:pPr>
      <w:r>
        <w:rPr>
          <w:rFonts w:hint="eastAsia" w:ascii="宋体" w:hAnsi="宋体" w:cs="宋体"/>
          <w:szCs w:val="21"/>
        </w:rPr>
        <w:t>天池能源科研实力雄厚，现有1支博士创新团队、1支智慧矿山规划及建设团队。目前有博士</w:t>
      </w:r>
      <w:r>
        <w:rPr>
          <w:rFonts w:hint="eastAsia" w:ascii="宋体" w:hAnsi="宋体" w:cs="宋体"/>
          <w:b/>
          <w:bCs/>
          <w:szCs w:val="21"/>
          <w:lang w:val="en-US" w:eastAsia="zh-CN"/>
        </w:rPr>
        <w:t>4</w:t>
      </w:r>
      <w:r>
        <w:rPr>
          <w:rFonts w:hint="eastAsia" w:ascii="宋体" w:hAnsi="宋体" w:cs="宋体"/>
          <w:szCs w:val="21"/>
        </w:rPr>
        <w:t>人，硕士及以上</w:t>
      </w:r>
      <w:r>
        <w:rPr>
          <w:rFonts w:hint="eastAsia" w:ascii="宋体" w:hAnsi="宋体" w:cs="宋体"/>
          <w:b/>
          <w:bCs/>
          <w:szCs w:val="21"/>
          <w:lang w:val="en-US" w:eastAsia="zh-CN"/>
        </w:rPr>
        <w:t>79</w:t>
      </w:r>
      <w:r>
        <w:rPr>
          <w:rFonts w:hint="eastAsia" w:ascii="宋体" w:hAnsi="宋体" w:cs="宋体"/>
          <w:szCs w:val="21"/>
        </w:rPr>
        <w:t>人，已形成一支由</w:t>
      </w:r>
      <w:r>
        <w:rPr>
          <w:rFonts w:hint="eastAsia" w:ascii="宋体" w:hAnsi="宋体" w:cs="宋体"/>
          <w:b/>
          <w:bCs/>
          <w:szCs w:val="21"/>
          <w:lang w:val="en-US" w:eastAsia="zh-CN"/>
        </w:rPr>
        <w:t>3</w:t>
      </w:r>
      <w:r>
        <w:rPr>
          <w:rFonts w:hint="eastAsia" w:ascii="宋体" w:hAnsi="宋体" w:cs="宋体"/>
          <w:b/>
          <w:bCs/>
          <w:szCs w:val="21"/>
        </w:rPr>
        <w:t>0</w:t>
      </w:r>
      <w:r>
        <w:rPr>
          <w:rFonts w:hint="eastAsia" w:ascii="宋体" w:hAnsi="宋体" w:cs="宋体"/>
          <w:szCs w:val="21"/>
        </w:rPr>
        <w:t>余位行业知名学科带头人、教授级高级工程师等顶尖人才组成的专家团队，在基础研究、实验保障、新技术、新工艺等各个领域开展创新科研，并始终保持着领先地位。公司逐年加大科技研发投入，</w:t>
      </w:r>
      <w:r>
        <w:rPr>
          <w:rFonts w:hint="eastAsia" w:ascii="宋体" w:hAnsi="宋体" w:cs="宋体"/>
          <w:b/>
          <w:bCs/>
          <w:szCs w:val="21"/>
        </w:rPr>
        <w:t>近三年投入研发费近5亿元，已完成专利申请87项；授权52项；软著申请81项；授权54项；发表行业专业论文87篇，出版行业专著</w:t>
      </w:r>
      <w:r>
        <w:rPr>
          <w:rFonts w:hint="eastAsia" w:ascii="宋体" w:hAnsi="宋体" w:cs="宋体"/>
          <w:b/>
          <w:bCs/>
          <w:szCs w:val="21"/>
          <w:lang w:val="en-US" w:eastAsia="zh-CN"/>
        </w:rPr>
        <w:t>2</w:t>
      </w:r>
      <w:r>
        <w:rPr>
          <w:rFonts w:hint="eastAsia" w:ascii="宋体" w:hAnsi="宋体" w:cs="宋体"/>
          <w:b/>
          <w:bCs/>
          <w:szCs w:val="21"/>
        </w:rPr>
        <w:t>部。</w:t>
      </w:r>
    </w:p>
    <w:p>
      <w:pPr>
        <w:pStyle w:val="4"/>
        <w:widowControl w:val="0"/>
        <w:spacing w:beforeAutospacing="0" w:afterAutospacing="0" w:line="440" w:lineRule="exact"/>
        <w:ind w:firstLine="480" w:firstLineChars="200"/>
        <w:rPr>
          <w:rFonts w:ascii="宋体" w:hAnsi="宋体" w:cs="宋体"/>
          <w:szCs w:val="21"/>
        </w:rPr>
      </w:pPr>
      <w:r>
        <w:rPr>
          <w:rFonts w:hint="eastAsia" w:ascii="宋体" w:hAnsi="宋体" w:cs="宋体"/>
          <w:szCs w:val="21"/>
        </w:rPr>
        <w:t>公司还与</w:t>
      </w:r>
      <w:r>
        <w:rPr>
          <w:rFonts w:hint="eastAsia" w:ascii="宋体" w:hAnsi="宋体" w:cs="宋体"/>
          <w:b/>
          <w:bCs/>
          <w:szCs w:val="21"/>
          <w:highlight w:val="none"/>
          <w:shd w:val="clear" w:color="auto" w:fill="auto"/>
        </w:rPr>
        <w:t>中国科学院、清华大学、西安交通大学、中国矿业大学、</w:t>
      </w:r>
      <w:r>
        <w:rPr>
          <w:rFonts w:hint="eastAsia" w:ascii="宋体" w:hAnsi="宋体" w:cs="宋体"/>
          <w:b/>
          <w:bCs/>
          <w:szCs w:val="21"/>
          <w:highlight w:val="none"/>
          <w:shd w:val="clear" w:color="auto" w:fill="auto"/>
          <w:lang w:val="en-US" w:eastAsia="zh-CN"/>
        </w:rPr>
        <w:t>北京邮电大学、北京航空航天大学、</w:t>
      </w:r>
      <w:r>
        <w:rPr>
          <w:rFonts w:hint="eastAsia" w:ascii="宋体" w:hAnsi="宋体" w:cs="宋体"/>
          <w:b/>
          <w:bCs/>
          <w:szCs w:val="21"/>
          <w:highlight w:val="none"/>
          <w:shd w:val="clear" w:color="auto" w:fill="auto"/>
        </w:rPr>
        <w:t>辽宁工程技术大学</w:t>
      </w:r>
      <w:r>
        <w:rPr>
          <w:rFonts w:hint="eastAsia" w:ascii="宋体" w:hAnsi="宋体" w:cs="宋体"/>
          <w:b/>
          <w:bCs/>
          <w:szCs w:val="21"/>
          <w:highlight w:val="none"/>
          <w:shd w:val="clear" w:color="auto" w:fill="auto"/>
          <w:lang w:eastAsia="zh-CN"/>
        </w:rPr>
        <w:t>、</w:t>
      </w:r>
      <w:r>
        <w:rPr>
          <w:rFonts w:hint="eastAsia" w:ascii="宋体" w:hAnsi="宋体" w:cs="宋体"/>
          <w:b/>
          <w:bCs/>
          <w:szCs w:val="21"/>
          <w:highlight w:val="none"/>
          <w:shd w:val="clear" w:color="auto" w:fill="auto"/>
        </w:rPr>
        <w:t>华北电力大学、</w:t>
      </w:r>
      <w:r>
        <w:rPr>
          <w:rFonts w:hint="eastAsia" w:ascii="宋体" w:hAnsi="宋体" w:cs="宋体"/>
          <w:b/>
          <w:bCs/>
          <w:szCs w:val="21"/>
          <w:highlight w:val="none"/>
          <w:shd w:val="clear" w:color="auto" w:fill="auto"/>
          <w:lang w:val="en-US" w:eastAsia="zh-CN"/>
        </w:rPr>
        <w:t>西安科技大学、上海电力大学、新疆大学</w:t>
      </w:r>
      <w:r>
        <w:rPr>
          <w:rFonts w:hint="eastAsia" w:ascii="宋体" w:hAnsi="宋体" w:cs="宋体"/>
          <w:szCs w:val="21"/>
        </w:rPr>
        <w:t>等著名院校建立了长期稳定的“产学研”合作关系，为新技术转化与应用提供了便利条件，引领着能源开采和转化行业节能、智能、环保的发展新方向。</w:t>
      </w:r>
    </w:p>
    <w:p>
      <w:pPr>
        <w:pStyle w:val="4"/>
        <w:widowControl w:val="0"/>
        <w:spacing w:beforeAutospacing="0" w:afterAutospacing="0" w:line="440" w:lineRule="exact"/>
        <w:ind w:firstLine="480" w:firstLineChars="200"/>
        <w:rPr>
          <w:rFonts w:ascii="宋体" w:hAnsi="宋体" w:cs="宋体"/>
          <w:szCs w:val="21"/>
        </w:rPr>
      </w:pPr>
      <w:r>
        <w:rPr>
          <w:rFonts w:hint="eastAsia" w:ascii="宋体" w:hAnsi="宋体" w:cs="宋体"/>
          <w:szCs w:val="21"/>
        </w:rPr>
        <w:t>特变电工天池能源将继续秉承</w:t>
      </w:r>
      <w:r>
        <w:rPr>
          <w:rFonts w:hint="eastAsia" w:ascii="宋体" w:hAnsi="宋体" w:cs="宋体"/>
          <w:b/>
          <w:bCs/>
          <w:szCs w:val="21"/>
        </w:rPr>
        <w:t>“绿色能源、绿色制造、绿色发展”理念，依托新疆丰富的煤炭资源，围绕“源网荷储一体化”</w:t>
      </w:r>
      <w:r>
        <w:rPr>
          <w:rFonts w:hint="eastAsia" w:ascii="宋体" w:hAnsi="宋体" w:cs="宋体"/>
          <w:szCs w:val="21"/>
        </w:rPr>
        <w:t>打造</w:t>
      </w:r>
      <w:r>
        <w:rPr>
          <w:rFonts w:hint="eastAsia" w:ascii="宋体" w:hAnsi="宋体" w:cs="宋体"/>
          <w:b/>
          <w:bCs/>
          <w:szCs w:val="21"/>
        </w:rPr>
        <w:t>“风光火氢储硅基新能源循环经济产业链”</w:t>
      </w:r>
      <w:r>
        <w:rPr>
          <w:rFonts w:hint="eastAsia" w:ascii="宋体" w:hAnsi="宋体" w:cs="宋体"/>
          <w:szCs w:val="21"/>
        </w:rPr>
        <w:t>和</w:t>
      </w:r>
      <w:r>
        <w:rPr>
          <w:rFonts w:hint="eastAsia" w:ascii="宋体" w:hAnsi="宋体" w:cs="宋体"/>
          <w:b/>
          <w:bCs/>
          <w:szCs w:val="21"/>
        </w:rPr>
        <w:t>“风光火氢储铝基新材料循环经济产业链”</w:t>
      </w:r>
      <w:r>
        <w:rPr>
          <w:rFonts w:hint="eastAsia" w:ascii="宋体" w:hAnsi="宋体" w:cs="宋体"/>
          <w:szCs w:val="21"/>
        </w:rPr>
        <w:t>，实现从原材料到电站终端的</w:t>
      </w:r>
      <w:r>
        <w:rPr>
          <w:rFonts w:hint="eastAsia" w:ascii="宋体" w:hAnsi="宋体" w:cs="宋体"/>
          <w:b/>
          <w:bCs/>
          <w:szCs w:val="21"/>
        </w:rPr>
        <w:t>“以绿色能源生产绿色产品”</w:t>
      </w:r>
      <w:r>
        <w:rPr>
          <w:rFonts w:hint="eastAsia" w:ascii="宋体" w:hAnsi="宋体" w:cs="宋体"/>
          <w:szCs w:val="21"/>
        </w:rPr>
        <w:t>的发展新模式，助力新疆构建以新能源和新材料国家战略性新兴产业为支撑的现代绿色能源经济体系，促进新疆稳步迈向绿色、低碳高质量发展的新时代。</w:t>
      </w:r>
    </w:p>
    <w:p>
      <w:pPr>
        <w:pStyle w:val="11"/>
        <w:spacing w:line="480" w:lineRule="exact"/>
        <w:ind w:firstLine="482" w:firstLineChars="200"/>
        <w:rPr>
          <w:rFonts w:ascii="宋体" w:hAnsi="宋体" w:cs="宋体"/>
          <w:b/>
          <w:bCs/>
          <w:color w:val="000000"/>
          <w:sz w:val="24"/>
          <w:szCs w:val="24"/>
        </w:rPr>
      </w:pPr>
      <w:r>
        <w:rPr>
          <w:rFonts w:hint="eastAsia" w:ascii="宋体" w:hAnsi="宋体" w:cs="宋体"/>
          <w:b/>
          <w:bCs/>
          <w:color w:val="000000"/>
          <w:sz w:val="24"/>
          <w:szCs w:val="24"/>
        </w:rPr>
        <w:t>中国煤电发展重心西移，新疆天池能源将为能源人才提供干事立业的广阔平台！</w:t>
      </w:r>
    </w:p>
    <w:p>
      <w:pPr>
        <w:pStyle w:val="11"/>
        <w:spacing w:line="480" w:lineRule="exact"/>
        <w:ind w:firstLine="562" w:firstLineChars="200"/>
        <w:rPr>
          <w:rFonts w:hint="eastAsia" w:ascii="宋体" w:hAnsi="宋体" w:eastAsia="黑体" w:cs="宋体"/>
          <w:b/>
          <w:bCs/>
          <w:sz w:val="24"/>
          <w:szCs w:val="24"/>
          <w:lang w:val="en-US" w:eastAsia="zh-CN"/>
        </w:rPr>
      </w:pPr>
      <w:r>
        <w:rPr>
          <w:rFonts w:hint="eastAsia" w:ascii="黑体" w:hAnsi="黑体" w:eastAsia="黑体" w:cs="黑体"/>
          <w:b/>
          <w:bCs/>
          <w:sz w:val="28"/>
          <w:szCs w:val="28"/>
        </w:rPr>
        <w:t>一、招聘需求：</w:t>
      </w:r>
    </w:p>
    <w:p>
      <w:pPr>
        <w:widowControl/>
        <w:spacing w:line="440" w:lineRule="exact"/>
        <w:ind w:left="0" w:firstLine="562" w:firstLineChars="200"/>
        <w:jc w:val="left"/>
        <w:outlineLvl w:val="0"/>
        <w:rPr>
          <w:rFonts w:ascii="宋体" w:hAnsi="宋体" w:cs="宋体"/>
          <w:b/>
          <w:bCs/>
          <w:kern w:val="0"/>
          <w:sz w:val="28"/>
          <w:szCs w:val="28"/>
        </w:rPr>
      </w:pPr>
      <w:r>
        <w:rPr>
          <w:rFonts w:hint="eastAsia" w:ascii="宋体" w:hAnsi="宋体" w:cs="宋体"/>
          <w:b/>
          <w:bCs/>
          <w:kern w:val="0"/>
          <w:sz w:val="28"/>
          <w:szCs w:val="28"/>
        </w:rPr>
        <w:t>试用期起薪：</w:t>
      </w:r>
      <w:r>
        <w:rPr>
          <w:rFonts w:hint="eastAsia" w:ascii="宋体" w:hAnsi="宋体" w:cs="宋体"/>
          <w:b/>
          <w:bCs/>
          <w:color w:val="FF0000"/>
          <w:kern w:val="0"/>
          <w:sz w:val="28"/>
          <w:szCs w:val="28"/>
        </w:rPr>
        <w:t>本科</w:t>
      </w:r>
      <w:r>
        <w:rPr>
          <w:rFonts w:hint="eastAsia" w:ascii="宋体" w:hAnsi="宋体" w:cs="宋体"/>
          <w:b/>
          <w:bCs/>
          <w:color w:val="FF0000"/>
          <w:kern w:val="0"/>
          <w:sz w:val="28"/>
          <w:szCs w:val="28"/>
          <w:lang w:val="en-US" w:eastAsia="zh-CN"/>
        </w:rPr>
        <w:t>9</w:t>
      </w:r>
      <w:r>
        <w:rPr>
          <w:rFonts w:ascii="宋体" w:hAnsi="宋体" w:cs="宋体"/>
          <w:b/>
          <w:bCs/>
          <w:color w:val="FF0000"/>
          <w:kern w:val="0"/>
          <w:sz w:val="28"/>
          <w:szCs w:val="28"/>
        </w:rPr>
        <w:t>K-10K/月</w:t>
      </w:r>
      <w:r>
        <w:rPr>
          <w:rFonts w:hint="eastAsia" w:ascii="宋体" w:hAnsi="宋体" w:cs="宋体"/>
          <w:b/>
          <w:bCs/>
          <w:color w:val="FF0000"/>
          <w:kern w:val="0"/>
          <w:sz w:val="28"/>
          <w:szCs w:val="28"/>
          <w:lang w:val="en-US" w:eastAsia="zh-CN"/>
        </w:rPr>
        <w:t>起</w:t>
      </w:r>
      <w:r>
        <w:rPr>
          <w:rFonts w:ascii="宋体" w:hAnsi="宋体" w:cs="宋体"/>
          <w:b/>
          <w:bCs/>
          <w:color w:val="FF0000"/>
          <w:kern w:val="0"/>
          <w:sz w:val="28"/>
          <w:szCs w:val="28"/>
        </w:rPr>
        <w:t>、硕士11K-15K/月</w:t>
      </w:r>
      <w:r>
        <w:rPr>
          <w:rFonts w:hint="eastAsia" w:ascii="宋体" w:hAnsi="宋体" w:cs="宋体"/>
          <w:b/>
          <w:bCs/>
          <w:color w:val="FF0000"/>
          <w:kern w:val="0"/>
          <w:sz w:val="28"/>
          <w:szCs w:val="28"/>
          <w:lang w:val="en-US" w:eastAsia="zh-CN"/>
        </w:rPr>
        <w:t>起</w:t>
      </w:r>
      <w:r>
        <w:rPr>
          <w:rFonts w:hint="eastAsia" w:ascii="宋体" w:hAnsi="宋体" w:cs="宋体"/>
          <w:b/>
          <w:bCs/>
          <w:color w:val="FF0000"/>
          <w:kern w:val="0"/>
          <w:sz w:val="28"/>
          <w:szCs w:val="28"/>
          <w:lang w:eastAsia="zh-CN"/>
        </w:rPr>
        <w:t>、</w:t>
      </w:r>
      <w:r>
        <w:rPr>
          <w:rFonts w:hint="eastAsia" w:ascii="宋体" w:hAnsi="宋体" w:cs="宋体"/>
          <w:b/>
          <w:bCs/>
          <w:color w:val="FF0000"/>
          <w:kern w:val="0"/>
          <w:sz w:val="28"/>
          <w:szCs w:val="28"/>
          <w:lang w:val="en-US" w:eastAsia="zh-CN"/>
        </w:rPr>
        <w:t>二本8</w:t>
      </w:r>
      <w:r>
        <w:rPr>
          <w:rFonts w:ascii="宋体" w:hAnsi="宋体" w:cs="宋体"/>
          <w:b/>
          <w:bCs/>
          <w:color w:val="FF0000"/>
          <w:kern w:val="0"/>
          <w:sz w:val="28"/>
          <w:szCs w:val="28"/>
        </w:rPr>
        <w:t>K</w:t>
      </w:r>
      <w:r>
        <w:rPr>
          <w:rFonts w:hint="eastAsia" w:ascii="宋体" w:hAnsi="宋体" w:cs="宋体"/>
          <w:b/>
          <w:bCs/>
          <w:color w:val="FF0000"/>
          <w:kern w:val="0"/>
          <w:sz w:val="28"/>
          <w:szCs w:val="28"/>
          <w:lang w:val="en-US" w:eastAsia="zh-CN"/>
        </w:rPr>
        <w:t>/月起</w:t>
      </w:r>
      <w:r>
        <w:rPr>
          <w:rFonts w:ascii="宋体" w:hAnsi="宋体" w:cs="宋体"/>
          <w:b/>
          <w:bCs/>
          <w:color w:val="FF0000"/>
          <w:kern w:val="0"/>
          <w:sz w:val="28"/>
          <w:szCs w:val="28"/>
        </w:rPr>
        <w:t>；</w:t>
      </w:r>
    </w:p>
    <w:p>
      <w:pPr>
        <w:widowControl/>
        <w:spacing w:line="440" w:lineRule="exact"/>
        <w:ind w:left="0" w:firstLine="0" w:firstLineChars="0"/>
        <w:jc w:val="left"/>
        <w:outlineLvl w:val="0"/>
        <w:rPr>
          <w:rFonts w:ascii="宋体" w:hAnsi="宋体" w:cs="宋体"/>
          <w:b/>
          <w:bCs/>
          <w:kern w:val="0"/>
          <w:sz w:val="28"/>
          <w:szCs w:val="28"/>
        </w:rPr>
      </w:pPr>
      <w:r>
        <w:rPr>
          <w:rFonts w:hint="eastAsia" w:ascii="宋体" w:hAnsi="宋体" w:cs="宋体"/>
          <w:b/>
          <w:bCs/>
          <w:kern w:val="0"/>
          <w:sz w:val="28"/>
          <w:szCs w:val="28"/>
          <w:lang w:val="en-US" w:eastAsia="zh-CN"/>
        </w:rPr>
        <w:t xml:space="preserve">    </w:t>
      </w:r>
      <w:r>
        <w:rPr>
          <w:rFonts w:hint="eastAsia" w:ascii="宋体" w:hAnsi="宋体" w:cs="宋体"/>
          <w:b/>
          <w:bCs/>
          <w:kern w:val="0"/>
          <w:sz w:val="28"/>
          <w:szCs w:val="28"/>
        </w:rPr>
        <w:t>博士专项薪资：</w:t>
      </w:r>
      <w:r>
        <w:rPr>
          <w:rFonts w:ascii="宋体" w:hAnsi="宋体" w:cs="宋体"/>
          <w:b/>
          <w:bCs/>
          <w:color w:val="FF0000"/>
          <w:kern w:val="0"/>
          <w:sz w:val="28"/>
          <w:szCs w:val="28"/>
        </w:rPr>
        <w:t>40W+/年，具体面议。</w:t>
      </w:r>
    </w:p>
    <w:tbl>
      <w:tblPr>
        <w:tblStyle w:val="6"/>
        <w:tblW w:w="42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1"/>
        <w:gridCol w:w="4612"/>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301" w:type="pct"/>
            <w:vMerge w:val="restart"/>
            <w:shd w:val="clear" w:color="auto" w:fill="BEBEBE" w:themeFill="background1" w:themeFillShade="BF"/>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需求类别</w:t>
            </w:r>
          </w:p>
        </w:tc>
        <w:tc>
          <w:tcPr>
            <w:tcW w:w="2726" w:type="pct"/>
            <w:vMerge w:val="restart"/>
            <w:shd w:val="clear" w:color="auto" w:fill="BEBEBE" w:themeFill="background1" w:themeFillShade="BF"/>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需求专业</w:t>
            </w:r>
          </w:p>
        </w:tc>
        <w:tc>
          <w:tcPr>
            <w:tcW w:w="971" w:type="pct"/>
            <w:vMerge w:val="restart"/>
            <w:shd w:val="clear" w:color="auto" w:fill="BEBEBE" w:themeFill="background1" w:themeFillShade="BF"/>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需求人数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jc w:val="center"/>
        </w:trPr>
        <w:tc>
          <w:tcPr>
            <w:tcW w:w="1301" w:type="pct"/>
            <w:vMerge w:val="continue"/>
            <w:shd w:val="clear" w:color="auto" w:fill="BEBEBE" w:themeFill="background1" w:themeFillShade="BF"/>
            <w:vAlign w:val="center"/>
          </w:tcPr>
          <w:p>
            <w:pPr>
              <w:jc w:val="center"/>
              <w:rPr>
                <w:rFonts w:hint="eastAsia" w:ascii="宋体" w:hAnsi="宋体" w:eastAsia="宋体" w:cs="宋体"/>
                <w:b/>
                <w:sz w:val="20"/>
                <w:szCs w:val="20"/>
              </w:rPr>
            </w:pPr>
          </w:p>
        </w:tc>
        <w:tc>
          <w:tcPr>
            <w:tcW w:w="2726" w:type="pct"/>
            <w:vMerge w:val="continue"/>
            <w:shd w:val="clear" w:color="auto" w:fill="BEBEBE" w:themeFill="background1" w:themeFillShade="BF"/>
            <w:vAlign w:val="center"/>
          </w:tcPr>
          <w:p>
            <w:pPr>
              <w:jc w:val="center"/>
              <w:rPr>
                <w:rFonts w:hint="eastAsia" w:ascii="宋体" w:hAnsi="宋体" w:eastAsia="宋体" w:cs="宋体"/>
                <w:b/>
                <w:sz w:val="20"/>
                <w:szCs w:val="20"/>
              </w:rPr>
            </w:pPr>
          </w:p>
        </w:tc>
        <w:tc>
          <w:tcPr>
            <w:tcW w:w="971" w:type="pct"/>
            <w:vMerge w:val="continue"/>
            <w:shd w:val="clear" w:color="auto" w:fill="BEBEBE" w:themeFill="background1" w:themeFillShade="BF"/>
            <w:vAlign w:val="center"/>
          </w:tcPr>
          <w:p>
            <w:pPr>
              <w:jc w:val="center"/>
              <w:rPr>
                <w:rFonts w:hint="eastAsia" w:ascii="宋体" w:hAnsi="宋体" w:eastAsia="宋体" w:cs="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1301" w:type="pct"/>
            <w:vMerge w:val="restart"/>
            <w:vAlign w:val="center"/>
          </w:tcPr>
          <w:p>
            <w:pPr>
              <w:jc w:val="center"/>
              <w:rPr>
                <w:rFonts w:hint="eastAsia" w:ascii="宋体" w:hAnsi="宋体" w:eastAsia="宋体" w:cs="宋体"/>
                <w:b/>
                <w:sz w:val="20"/>
                <w:szCs w:val="20"/>
                <w:lang w:eastAsia="zh-CN"/>
              </w:rPr>
            </w:pPr>
            <w:r>
              <w:rPr>
                <w:rFonts w:hint="eastAsia" w:ascii="宋体" w:hAnsi="宋体" w:eastAsia="宋体" w:cs="宋体"/>
                <w:b/>
                <w:sz w:val="20"/>
                <w:szCs w:val="20"/>
              </w:rPr>
              <w:t>科技研发类</w:t>
            </w:r>
            <w:r>
              <w:rPr>
                <w:rFonts w:hint="eastAsia" w:ascii="宋体" w:hAnsi="宋体" w:eastAsia="宋体" w:cs="宋体"/>
                <w:b/>
                <w:sz w:val="20"/>
                <w:szCs w:val="20"/>
                <w:lang w:eastAsia="zh-CN"/>
              </w:rPr>
              <w:t>（</w:t>
            </w:r>
            <w:r>
              <w:rPr>
                <w:rFonts w:hint="eastAsia" w:ascii="宋体" w:hAnsi="宋体" w:eastAsia="宋体" w:cs="宋体"/>
                <w:b/>
                <w:sz w:val="20"/>
                <w:szCs w:val="20"/>
                <w:lang w:val="en-US" w:eastAsia="zh-CN"/>
              </w:rPr>
              <w:t>硕博</w:t>
            </w:r>
            <w:r>
              <w:rPr>
                <w:rFonts w:hint="eastAsia" w:ascii="宋体" w:hAnsi="宋体" w:eastAsia="宋体" w:cs="宋体"/>
                <w:b/>
                <w:sz w:val="20"/>
                <w:szCs w:val="20"/>
                <w:lang w:eastAsia="zh-CN"/>
              </w:rPr>
              <w:t>）</w:t>
            </w:r>
          </w:p>
        </w:tc>
        <w:tc>
          <w:tcPr>
            <w:tcW w:w="2726" w:type="pct"/>
            <w:vAlign w:val="center"/>
          </w:tcPr>
          <w:p>
            <w:pPr>
              <w:jc w:val="center"/>
              <w:rPr>
                <w:rFonts w:hint="default" w:ascii="宋体" w:hAnsi="宋体" w:cs="宋体"/>
                <w:b w:val="0"/>
                <w:bCs/>
                <w:sz w:val="20"/>
                <w:szCs w:val="20"/>
                <w:lang w:val="en-US" w:eastAsia="zh-CN"/>
              </w:rPr>
            </w:pPr>
            <w:r>
              <w:rPr>
                <w:rFonts w:hint="eastAsia" w:ascii="宋体" w:hAnsi="宋体" w:eastAsia="宋体" w:cs="宋体"/>
                <w:b w:val="0"/>
                <w:bCs/>
                <w:sz w:val="20"/>
                <w:szCs w:val="20"/>
              </w:rPr>
              <w:t>煤炭掺烧/露天采矿/智能采矿</w:t>
            </w:r>
            <w:r>
              <w:rPr>
                <w:rFonts w:hint="eastAsia" w:ascii="宋体" w:hAnsi="宋体" w:cs="宋体"/>
                <w:b w:val="0"/>
                <w:bCs/>
                <w:sz w:val="20"/>
                <w:szCs w:val="20"/>
                <w:lang w:val="en-US" w:eastAsia="zh-CN"/>
              </w:rPr>
              <w:t>/动力工程热物理/冶金工程/安全工程/机电自动化/信息化等</w:t>
            </w:r>
          </w:p>
          <w:p>
            <w:pPr>
              <w:jc w:val="center"/>
              <w:rPr>
                <w:rFonts w:hint="default" w:ascii="宋体" w:hAnsi="宋体" w:eastAsia="宋体" w:cs="宋体"/>
                <w:b w:val="0"/>
                <w:bCs/>
                <w:sz w:val="20"/>
                <w:szCs w:val="20"/>
                <w:lang w:val="en-US" w:eastAsia="zh-CN"/>
              </w:rPr>
            </w:pPr>
            <w:r>
              <w:rPr>
                <w:rFonts w:hint="eastAsia" w:ascii="宋体" w:hAnsi="宋体" w:cs="宋体"/>
                <w:b w:val="0"/>
                <w:bCs/>
                <w:sz w:val="20"/>
                <w:szCs w:val="20"/>
                <w:lang w:val="en-US" w:eastAsia="zh-CN"/>
              </w:rPr>
              <w:t>安全安全工程呢个</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vAlign w:val="center"/>
          </w:tcPr>
          <w:p>
            <w:pPr>
              <w:jc w:val="center"/>
              <w:rPr>
                <w:rFonts w:hint="default" w:ascii="宋体" w:hAnsi="宋体" w:eastAsia="宋体" w:cs="宋体"/>
                <w:b w:val="0"/>
                <w:bCs/>
                <w:sz w:val="20"/>
                <w:szCs w:val="20"/>
                <w:lang w:val="en-US" w:eastAsia="zh-CN"/>
              </w:rPr>
            </w:pPr>
            <w:r>
              <w:rPr>
                <w:rFonts w:hint="eastAsia" w:ascii="宋体" w:hAnsi="宋体" w:eastAsia="宋体" w:cs="宋体"/>
                <w:b w:val="0"/>
                <w:bCs/>
                <w:sz w:val="20"/>
                <w:szCs w:val="20"/>
              </w:rPr>
              <w:t>化学工程与工艺</w:t>
            </w:r>
            <w:r>
              <w:rPr>
                <w:rFonts w:hint="eastAsia" w:ascii="宋体" w:hAnsi="宋体" w:eastAsia="宋体" w:cs="宋体"/>
                <w:b w:val="0"/>
                <w:bCs/>
                <w:sz w:val="20"/>
                <w:szCs w:val="20"/>
                <w:lang w:val="en-US" w:eastAsia="zh-CN"/>
              </w:rPr>
              <w:t>/煤化工</w:t>
            </w:r>
            <w:r>
              <w:rPr>
                <w:rFonts w:hint="eastAsia" w:ascii="宋体" w:hAnsi="宋体" w:cs="宋体"/>
                <w:b w:val="0"/>
                <w:bCs/>
                <w:sz w:val="20"/>
                <w:szCs w:val="20"/>
                <w:lang w:val="en-US" w:eastAsia="zh-CN"/>
              </w:rPr>
              <w:t>/能源化学工程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301" w:type="pct"/>
            <w:vMerge w:val="restart"/>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信息化类</w:t>
            </w:r>
          </w:p>
        </w:tc>
        <w:tc>
          <w:tcPr>
            <w:tcW w:w="2726" w:type="pct"/>
            <w:vAlign w:val="center"/>
          </w:tcPr>
          <w:p>
            <w:pPr>
              <w:jc w:val="center"/>
              <w:rPr>
                <w:rFonts w:hint="eastAsia" w:ascii="宋体" w:hAnsi="宋体" w:eastAsia="宋体" w:cs="宋体"/>
                <w:b w:val="0"/>
                <w:bCs/>
                <w:sz w:val="20"/>
                <w:szCs w:val="20"/>
              </w:rPr>
            </w:pPr>
            <w:r>
              <w:rPr>
                <w:rFonts w:hint="eastAsia" w:ascii="宋体" w:hAnsi="宋体" w:eastAsia="宋体" w:cs="宋体"/>
                <w:b w:val="0"/>
                <w:bCs/>
                <w:sz w:val="20"/>
                <w:szCs w:val="20"/>
              </w:rPr>
              <w:t>软件工程/计算机信息技术/物联网/网络工程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vAlign w:val="center"/>
          </w:tcPr>
          <w:p>
            <w:pPr>
              <w:jc w:val="center"/>
              <w:rPr>
                <w:rFonts w:hint="eastAsia" w:ascii="宋体" w:hAnsi="宋体" w:eastAsia="宋体" w:cs="宋体"/>
                <w:b w:val="0"/>
                <w:bCs/>
                <w:sz w:val="20"/>
                <w:szCs w:val="20"/>
              </w:rPr>
            </w:pPr>
            <w:r>
              <w:rPr>
                <w:rFonts w:hint="eastAsia" w:ascii="宋体" w:hAnsi="宋体" w:eastAsia="宋体" w:cs="宋体"/>
                <w:b w:val="0"/>
                <w:bCs/>
                <w:sz w:val="20"/>
                <w:szCs w:val="20"/>
              </w:rPr>
              <w:t>机械工程及其自动化/自动化</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restart"/>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电力类</w:t>
            </w:r>
          </w:p>
        </w:tc>
        <w:tc>
          <w:tcPr>
            <w:tcW w:w="2726" w:type="pct"/>
            <w:shd w:val="clear" w:color="auto" w:fill="auto"/>
            <w:vAlign w:val="center"/>
          </w:tcPr>
          <w:p>
            <w:pPr>
              <w:jc w:val="center"/>
              <w:rPr>
                <w:rFonts w:hint="eastAsia" w:ascii="宋体" w:hAnsi="宋体" w:eastAsia="宋体" w:cs="宋体"/>
                <w:b w:val="0"/>
                <w:bCs/>
                <w:sz w:val="20"/>
                <w:szCs w:val="20"/>
                <w:shd w:val="clear" w:color="auto" w:fill="FFFF00"/>
              </w:rPr>
            </w:pPr>
            <w:r>
              <w:rPr>
                <w:rFonts w:hint="eastAsia" w:ascii="宋体" w:hAnsi="宋体" w:eastAsia="宋体" w:cs="宋体"/>
                <w:b w:val="0"/>
                <w:bCs/>
                <w:sz w:val="20"/>
                <w:szCs w:val="20"/>
              </w:rPr>
              <w:t>能源与动力工程/热能与动力工程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 w:val="0"/>
                <w:bCs/>
                <w:sz w:val="20"/>
                <w:szCs w:val="20"/>
              </w:rPr>
            </w:pPr>
            <w:r>
              <w:rPr>
                <w:rFonts w:hint="eastAsia" w:ascii="宋体" w:hAnsi="宋体" w:eastAsia="宋体" w:cs="宋体"/>
                <w:b w:val="0"/>
                <w:bCs/>
                <w:sz w:val="20"/>
                <w:szCs w:val="20"/>
              </w:rPr>
              <w:t>电气工程及其自动化/自动化</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 w:val="0"/>
                <w:bCs/>
                <w:sz w:val="20"/>
                <w:szCs w:val="20"/>
              </w:rPr>
            </w:pPr>
            <w:r>
              <w:rPr>
                <w:rFonts w:hint="eastAsia" w:ascii="宋体" w:hAnsi="宋体" w:eastAsia="宋体" w:cs="宋体"/>
                <w:b w:val="0"/>
                <w:bCs/>
                <w:sz w:val="20"/>
                <w:szCs w:val="20"/>
              </w:rPr>
              <w:t>化学工程与工艺/应用化学</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 w:val="0"/>
                <w:bCs/>
                <w:sz w:val="20"/>
                <w:szCs w:val="20"/>
              </w:rPr>
            </w:pPr>
            <w:r>
              <w:rPr>
                <w:rFonts w:hint="eastAsia" w:ascii="宋体" w:hAnsi="宋体" w:eastAsia="宋体" w:cs="宋体"/>
                <w:b w:val="0"/>
                <w:bCs/>
                <w:sz w:val="20"/>
                <w:szCs w:val="20"/>
              </w:rPr>
              <w:t>安全工程/消防工程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 w:val="0"/>
                <w:bCs/>
                <w:sz w:val="20"/>
                <w:szCs w:val="20"/>
              </w:rPr>
            </w:pPr>
            <w:r>
              <w:rPr>
                <w:rFonts w:hint="eastAsia" w:ascii="宋体" w:hAnsi="宋体" w:eastAsia="宋体" w:cs="宋体"/>
                <w:b w:val="0"/>
                <w:bCs/>
                <w:sz w:val="20"/>
                <w:szCs w:val="20"/>
              </w:rPr>
              <w:t>建筑环境与能源应用工程/暖通工程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exact"/>
          <w:jc w:val="center"/>
        </w:trPr>
        <w:tc>
          <w:tcPr>
            <w:tcW w:w="1301" w:type="pct"/>
            <w:vMerge w:val="restart"/>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矿业类</w:t>
            </w:r>
          </w:p>
        </w:tc>
        <w:tc>
          <w:tcPr>
            <w:tcW w:w="2726" w:type="pct"/>
            <w:shd w:val="clear" w:color="auto" w:fill="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采矿工程/矿物加工工程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电气工程及其自动化</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机械工程/机械设计制造及自动化</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default" w:ascii="宋体" w:hAnsi="宋体" w:eastAsia="宋体" w:cs="宋体"/>
                <w:bCs/>
                <w:sz w:val="20"/>
                <w:szCs w:val="20"/>
                <w:lang w:val="en-US" w:eastAsia="zh-CN"/>
              </w:rPr>
            </w:pPr>
            <w:r>
              <w:rPr>
                <w:rFonts w:hint="eastAsia" w:ascii="宋体" w:hAnsi="宋体" w:eastAsia="宋体" w:cs="宋体"/>
                <w:bCs/>
                <w:sz w:val="20"/>
                <w:szCs w:val="20"/>
              </w:rPr>
              <w:t>安全工程</w:t>
            </w:r>
            <w:r>
              <w:rPr>
                <w:rFonts w:hint="eastAsia" w:ascii="宋体" w:hAnsi="宋体" w:cs="宋体"/>
                <w:bCs/>
                <w:sz w:val="20"/>
                <w:szCs w:val="20"/>
                <w:lang w:val="en-US" w:eastAsia="zh-CN"/>
              </w:rPr>
              <w:t>/消防工程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地质工程/资源勘查</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exact"/>
          <w:jc w:val="center"/>
        </w:trPr>
        <w:tc>
          <w:tcPr>
            <w:tcW w:w="1301" w:type="pct"/>
            <w:vMerge w:val="restart"/>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物流类</w:t>
            </w:r>
          </w:p>
        </w:tc>
        <w:tc>
          <w:tcPr>
            <w:tcW w:w="2726" w:type="pct"/>
            <w:shd w:val="clear" w:color="auto" w:fill="auto"/>
            <w:vAlign w:val="center"/>
          </w:tcPr>
          <w:p>
            <w:pPr>
              <w:jc w:val="center"/>
              <w:rPr>
                <w:rFonts w:hint="default" w:ascii="宋体" w:hAnsi="宋体" w:eastAsia="宋体" w:cs="宋体"/>
                <w:bCs/>
                <w:sz w:val="20"/>
                <w:szCs w:val="20"/>
                <w:lang w:val="en-US" w:eastAsia="zh-CN"/>
              </w:rPr>
            </w:pPr>
            <w:r>
              <w:rPr>
                <w:rFonts w:hint="eastAsia" w:ascii="宋体" w:hAnsi="宋体" w:eastAsia="宋体" w:cs="宋体"/>
                <w:bCs/>
                <w:sz w:val="20"/>
                <w:szCs w:val="20"/>
              </w:rPr>
              <w:t>交通运输/物流管理</w:t>
            </w:r>
            <w:r>
              <w:rPr>
                <w:rFonts w:hint="eastAsia" w:ascii="宋体" w:hAnsi="宋体" w:cs="宋体"/>
                <w:bCs/>
                <w:sz w:val="20"/>
                <w:szCs w:val="20"/>
                <w:lang w:val="en-US" w:eastAsia="zh-CN"/>
              </w:rPr>
              <w:t>/交通工程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default" w:ascii="宋体" w:hAnsi="宋体" w:eastAsia="宋体" w:cs="宋体"/>
                <w:bCs/>
                <w:sz w:val="20"/>
                <w:szCs w:val="20"/>
                <w:lang w:val="en-US" w:eastAsia="zh-CN"/>
              </w:rPr>
            </w:pPr>
            <w:r>
              <w:rPr>
                <w:rFonts w:hint="eastAsia" w:ascii="宋体" w:hAnsi="宋体" w:eastAsia="宋体" w:cs="宋体"/>
                <w:b w:val="0"/>
                <w:bCs/>
                <w:sz w:val="20"/>
                <w:szCs w:val="20"/>
              </w:rPr>
              <w:t>电气工程及其自动化/自动化</w:t>
            </w:r>
          </w:p>
        </w:tc>
        <w:tc>
          <w:tcPr>
            <w:tcW w:w="971" w:type="pct"/>
            <w:vAlign w:val="center"/>
          </w:tcPr>
          <w:p>
            <w:pPr>
              <w:jc w:val="center"/>
              <w:rPr>
                <w:rFonts w:hint="default" w:ascii="宋体" w:hAnsi="宋体" w:eastAsia="宋体" w:cs="宋体"/>
                <w:b/>
                <w:sz w:val="20"/>
                <w:szCs w:val="20"/>
                <w:lang w:val="en-US"/>
              </w:rPr>
            </w:pPr>
            <w:r>
              <w:rPr>
                <w:rFonts w:hint="eastAsia" w:ascii="宋体" w:hAnsi="宋体" w:cs="宋体"/>
                <w:b/>
                <w:sz w:val="20"/>
                <w:szCs w:val="20"/>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restart"/>
            <w:vAlign w:val="center"/>
          </w:tcPr>
          <w:p>
            <w:pPr>
              <w:jc w:val="center"/>
              <w:rPr>
                <w:rFonts w:hint="eastAsia" w:ascii="宋体" w:hAnsi="宋体" w:eastAsia="宋体" w:cs="宋体"/>
                <w:b/>
                <w:sz w:val="20"/>
                <w:szCs w:val="20"/>
              </w:rPr>
            </w:pPr>
            <w:r>
              <w:rPr>
                <w:rFonts w:hint="eastAsia" w:ascii="宋体" w:hAnsi="宋体" w:eastAsia="宋体" w:cs="宋体"/>
                <w:b/>
                <w:sz w:val="20"/>
                <w:szCs w:val="20"/>
              </w:rPr>
              <w:t>工业硅类</w:t>
            </w:r>
          </w:p>
        </w:tc>
        <w:tc>
          <w:tcPr>
            <w:tcW w:w="2726" w:type="pct"/>
            <w:shd w:val="clear" w:color="auto" w:fill="auto"/>
            <w:vAlign w:val="center"/>
          </w:tcPr>
          <w:p>
            <w:pPr>
              <w:jc w:val="center"/>
              <w:rPr>
                <w:rFonts w:hint="default" w:ascii="宋体" w:hAnsi="宋体" w:eastAsia="宋体" w:cs="宋体"/>
                <w:bCs/>
                <w:sz w:val="20"/>
                <w:szCs w:val="20"/>
                <w:lang w:val="en-US" w:eastAsia="zh-CN"/>
              </w:rPr>
            </w:pPr>
            <w:r>
              <w:rPr>
                <w:rFonts w:hint="eastAsia" w:ascii="宋体" w:hAnsi="宋体" w:eastAsia="宋体" w:cs="宋体"/>
                <w:bCs/>
                <w:sz w:val="20"/>
                <w:szCs w:val="20"/>
              </w:rPr>
              <w:t>冶金工程</w:t>
            </w:r>
            <w:r>
              <w:rPr>
                <w:rFonts w:hint="eastAsia" w:ascii="宋体" w:hAnsi="宋体" w:cs="宋体"/>
                <w:bCs/>
                <w:sz w:val="20"/>
                <w:szCs w:val="20"/>
                <w:lang w:val="en-US" w:eastAsia="zh-CN"/>
              </w:rPr>
              <w:t>/机电工程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化学工程与工艺/材料科学与工程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exact"/>
          <w:jc w:val="center"/>
        </w:trPr>
        <w:tc>
          <w:tcPr>
            <w:tcW w:w="1301" w:type="pct"/>
            <w:vAlign w:val="center"/>
          </w:tcPr>
          <w:p>
            <w:pPr>
              <w:jc w:val="center"/>
              <w:rPr>
                <w:rFonts w:hint="default" w:ascii="宋体" w:hAnsi="宋体" w:eastAsia="宋体" w:cs="宋体"/>
                <w:b/>
                <w:sz w:val="20"/>
                <w:szCs w:val="20"/>
                <w:lang w:val="en-US"/>
              </w:rPr>
            </w:pPr>
            <w:r>
              <w:rPr>
                <w:rFonts w:hint="eastAsia" w:ascii="宋体" w:hAnsi="宋体" w:eastAsia="宋体" w:cs="宋体"/>
                <w:b/>
                <w:sz w:val="20"/>
                <w:szCs w:val="20"/>
                <w:lang w:val="en-US" w:eastAsia="zh-CN"/>
              </w:rPr>
              <w:t>销售类</w:t>
            </w:r>
            <w:r>
              <w:rPr>
                <w:rFonts w:hint="eastAsia" w:ascii="宋体" w:hAnsi="宋体" w:cs="宋体"/>
                <w:b/>
                <w:sz w:val="20"/>
                <w:szCs w:val="20"/>
                <w:lang w:val="en-US" w:eastAsia="zh-CN"/>
              </w:rPr>
              <w:t>（2020-2023届）</w:t>
            </w:r>
          </w:p>
        </w:tc>
        <w:tc>
          <w:tcPr>
            <w:tcW w:w="2726" w:type="pct"/>
            <w:shd w:val="clear" w:color="auto" w:fill="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lang w:val="en-US" w:eastAsia="zh-CN"/>
              </w:rPr>
              <w:t>专业不限</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exact"/>
          <w:jc w:val="center"/>
        </w:trPr>
        <w:tc>
          <w:tcPr>
            <w:tcW w:w="1301" w:type="pct"/>
            <w:vMerge w:val="restart"/>
            <w:vAlign w:val="center"/>
          </w:tcPr>
          <w:p>
            <w:pPr>
              <w:jc w:val="center"/>
              <w:rPr>
                <w:rFonts w:hint="eastAsia" w:ascii="宋体" w:hAnsi="宋体" w:eastAsia="宋体" w:cs="宋体"/>
                <w:b/>
                <w:sz w:val="20"/>
                <w:szCs w:val="20"/>
                <w:lang w:eastAsia="zh-CN"/>
              </w:rPr>
            </w:pPr>
            <w:r>
              <w:rPr>
                <w:rFonts w:hint="eastAsia" w:ascii="宋体" w:hAnsi="宋体" w:eastAsia="宋体" w:cs="宋体"/>
                <w:b/>
                <w:sz w:val="20"/>
                <w:szCs w:val="20"/>
              </w:rPr>
              <w:t>职能类</w:t>
            </w:r>
            <w:r>
              <w:rPr>
                <w:rFonts w:hint="eastAsia" w:ascii="宋体" w:hAnsi="宋体" w:cs="宋体"/>
                <w:b/>
                <w:sz w:val="20"/>
                <w:szCs w:val="20"/>
                <w:lang w:eastAsia="zh-CN"/>
              </w:rPr>
              <w:t>（</w:t>
            </w:r>
            <w:r>
              <w:rPr>
                <w:rFonts w:hint="eastAsia" w:ascii="宋体" w:hAnsi="宋体" w:cs="宋体"/>
                <w:b/>
                <w:sz w:val="20"/>
                <w:szCs w:val="20"/>
                <w:lang w:val="en-US" w:eastAsia="zh-CN"/>
              </w:rPr>
              <w:t>硕士优先</w:t>
            </w:r>
            <w:r>
              <w:rPr>
                <w:rFonts w:hint="eastAsia" w:ascii="宋体" w:hAnsi="宋体" w:cs="宋体"/>
                <w:b/>
                <w:sz w:val="20"/>
                <w:szCs w:val="20"/>
                <w:lang w:eastAsia="zh-CN"/>
              </w:rPr>
              <w:t>）</w:t>
            </w:r>
          </w:p>
        </w:tc>
        <w:tc>
          <w:tcPr>
            <w:tcW w:w="2726" w:type="pct"/>
            <w:shd w:val="clear" w:color="auto" w:fill="auto"/>
            <w:vAlign w:val="center"/>
          </w:tcPr>
          <w:p>
            <w:pPr>
              <w:jc w:val="center"/>
              <w:rPr>
                <w:rFonts w:hint="eastAsia" w:ascii="宋体" w:hAnsi="宋体" w:eastAsia="宋体" w:cs="宋体"/>
                <w:bCs/>
                <w:sz w:val="20"/>
                <w:szCs w:val="20"/>
                <w:lang w:val="en-US" w:eastAsia="zh-CN"/>
              </w:rPr>
            </w:pPr>
            <w:r>
              <w:rPr>
                <w:rFonts w:hint="eastAsia" w:ascii="宋体" w:hAnsi="宋体" w:eastAsia="宋体" w:cs="宋体"/>
                <w:bCs/>
                <w:sz w:val="20"/>
                <w:szCs w:val="20"/>
              </w:rPr>
              <w:t>人力资源/劳动与社会保障</w:t>
            </w:r>
            <w:r>
              <w:rPr>
                <w:rFonts w:hint="eastAsia" w:ascii="宋体" w:hAnsi="宋体" w:eastAsia="宋体" w:cs="宋体"/>
                <w:bCs/>
                <w:sz w:val="20"/>
                <w:szCs w:val="20"/>
                <w:lang w:val="en-US" w:eastAsia="zh-CN"/>
              </w:rPr>
              <w:t>/工商管理/法律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default" w:ascii="宋体" w:hAnsi="宋体" w:eastAsia="宋体" w:cs="宋体"/>
                <w:bCs/>
                <w:sz w:val="20"/>
                <w:szCs w:val="20"/>
                <w:lang w:val="en-US" w:eastAsia="zh-CN"/>
              </w:rPr>
            </w:pPr>
            <w:r>
              <w:rPr>
                <w:rFonts w:hint="eastAsia" w:ascii="宋体" w:hAnsi="宋体" w:eastAsia="宋体" w:cs="宋体"/>
                <w:bCs/>
                <w:sz w:val="20"/>
                <w:szCs w:val="20"/>
              </w:rPr>
              <w:t>企业管理</w:t>
            </w:r>
            <w:r>
              <w:rPr>
                <w:rFonts w:hint="eastAsia" w:ascii="宋体" w:hAnsi="宋体" w:eastAsia="宋体" w:cs="宋体"/>
                <w:bCs/>
                <w:sz w:val="20"/>
                <w:szCs w:val="20"/>
                <w:lang w:val="en-US" w:eastAsia="zh-CN"/>
              </w:rPr>
              <w:t>/统计学/</w:t>
            </w:r>
            <w:r>
              <w:rPr>
                <w:rFonts w:hint="eastAsia" w:ascii="宋体" w:hAnsi="宋体" w:cs="宋体"/>
                <w:bCs/>
                <w:sz w:val="20"/>
                <w:szCs w:val="20"/>
                <w:lang w:val="en-US" w:eastAsia="zh-CN"/>
              </w:rPr>
              <w:t>经济学</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eastAsia" w:ascii="宋体" w:hAnsi="宋体" w:eastAsia="宋体" w:cs="宋体"/>
                <w:bCs/>
                <w:sz w:val="20"/>
                <w:szCs w:val="20"/>
                <w:lang w:val="en-US" w:eastAsia="zh-CN"/>
              </w:rPr>
            </w:pPr>
            <w:r>
              <w:rPr>
                <w:rFonts w:hint="eastAsia" w:ascii="宋体" w:hAnsi="宋体" w:eastAsia="宋体" w:cs="宋体"/>
                <w:bCs/>
                <w:sz w:val="20"/>
                <w:szCs w:val="20"/>
              </w:rPr>
              <w:t>财务管理/会计学</w:t>
            </w:r>
            <w:r>
              <w:rPr>
                <w:rFonts w:hint="eastAsia" w:ascii="宋体" w:hAnsi="宋体" w:eastAsia="宋体" w:cs="宋体"/>
                <w:bCs/>
                <w:sz w:val="20"/>
                <w:szCs w:val="20"/>
                <w:lang w:val="en-US" w:eastAsia="zh-CN"/>
              </w:rPr>
              <w:t>/</w:t>
            </w:r>
            <w:r>
              <w:rPr>
                <w:rFonts w:hint="eastAsia" w:ascii="宋体" w:hAnsi="宋体" w:eastAsia="宋体" w:cs="宋体"/>
                <w:bCs/>
                <w:sz w:val="20"/>
                <w:szCs w:val="20"/>
              </w:rPr>
              <w:t>审计</w:t>
            </w:r>
            <w:r>
              <w:rPr>
                <w:rFonts w:hint="eastAsia" w:ascii="宋体" w:hAnsi="宋体" w:eastAsia="宋体" w:cs="宋体"/>
                <w:bCs/>
                <w:sz w:val="20"/>
                <w:szCs w:val="20"/>
                <w:lang w:val="en-US" w:eastAsia="zh-CN"/>
              </w:rPr>
              <w:t>学/财经类</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1301" w:type="pct"/>
            <w:vMerge w:val="continue"/>
            <w:vAlign w:val="center"/>
          </w:tcPr>
          <w:p>
            <w:pPr>
              <w:jc w:val="center"/>
              <w:rPr>
                <w:rFonts w:hint="eastAsia" w:ascii="宋体" w:hAnsi="宋体" w:eastAsia="宋体" w:cs="宋体"/>
                <w:b/>
                <w:sz w:val="20"/>
                <w:szCs w:val="20"/>
              </w:rPr>
            </w:pPr>
          </w:p>
        </w:tc>
        <w:tc>
          <w:tcPr>
            <w:tcW w:w="2726" w:type="pct"/>
            <w:shd w:val="clear" w:color="auto" w:fill="auto"/>
            <w:vAlign w:val="center"/>
          </w:tcPr>
          <w:p>
            <w:pPr>
              <w:jc w:val="center"/>
              <w:rPr>
                <w:rFonts w:hint="default" w:ascii="宋体" w:hAnsi="宋体" w:eastAsia="宋体" w:cs="宋体"/>
                <w:bCs/>
                <w:sz w:val="20"/>
                <w:szCs w:val="20"/>
                <w:lang w:val="en-US"/>
              </w:rPr>
            </w:pPr>
            <w:r>
              <w:rPr>
                <w:rFonts w:hint="eastAsia" w:ascii="宋体" w:hAnsi="宋体" w:eastAsia="宋体" w:cs="宋体"/>
                <w:bCs/>
                <w:sz w:val="20"/>
                <w:szCs w:val="20"/>
              </w:rPr>
              <w:t>新闻学/广播电视学</w:t>
            </w:r>
            <w:r>
              <w:rPr>
                <w:rFonts w:hint="eastAsia" w:ascii="宋体" w:hAnsi="宋体" w:eastAsia="宋体" w:cs="宋体"/>
                <w:bCs/>
                <w:sz w:val="20"/>
                <w:szCs w:val="20"/>
                <w:lang w:val="en-US" w:eastAsia="zh-CN"/>
              </w:rPr>
              <w:t>/</w:t>
            </w:r>
            <w:r>
              <w:rPr>
                <w:rFonts w:hint="eastAsia" w:ascii="宋体" w:hAnsi="宋体" w:cs="宋体"/>
                <w:bCs/>
                <w:sz w:val="20"/>
                <w:szCs w:val="20"/>
                <w:lang w:val="en-US" w:eastAsia="zh-CN"/>
              </w:rPr>
              <w:t>汉语言文学</w:t>
            </w:r>
            <w:r>
              <w:rPr>
                <w:rFonts w:hint="eastAsia" w:ascii="宋体" w:hAnsi="宋体" w:eastAsia="宋体" w:cs="宋体"/>
                <w:bCs/>
                <w:sz w:val="20"/>
                <w:szCs w:val="20"/>
                <w:lang w:val="en-US" w:eastAsia="zh-CN"/>
              </w:rPr>
              <w:t>/</w:t>
            </w:r>
            <w:r>
              <w:rPr>
                <w:rFonts w:hint="eastAsia" w:ascii="宋体" w:hAnsi="宋体" w:cs="宋体"/>
                <w:bCs/>
                <w:sz w:val="20"/>
                <w:szCs w:val="20"/>
                <w:lang w:val="en-US" w:eastAsia="zh-CN"/>
              </w:rPr>
              <w:t>行政管理</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1301" w:type="pct"/>
            <w:vAlign w:val="center"/>
          </w:tcPr>
          <w:p>
            <w:pPr>
              <w:jc w:val="center"/>
              <w:rPr>
                <w:rFonts w:hint="eastAsia" w:ascii="宋体" w:hAnsi="宋体" w:eastAsia="宋体" w:cs="宋体"/>
                <w:bCs/>
                <w:sz w:val="20"/>
                <w:szCs w:val="20"/>
                <w:lang w:val="en-US" w:eastAsia="zh-CN"/>
              </w:rPr>
            </w:pPr>
            <w:r>
              <w:rPr>
                <w:rFonts w:hint="eastAsia" w:ascii="宋体" w:hAnsi="宋体" w:eastAsia="宋体" w:cs="宋体"/>
                <w:b/>
                <w:sz w:val="20"/>
                <w:szCs w:val="20"/>
              </w:rPr>
              <w:t>其他</w:t>
            </w:r>
            <w:r>
              <w:rPr>
                <w:rFonts w:hint="eastAsia" w:ascii="宋体" w:hAnsi="宋体" w:cs="宋体"/>
                <w:b/>
                <w:sz w:val="20"/>
                <w:szCs w:val="20"/>
                <w:lang w:eastAsia="zh-CN"/>
              </w:rPr>
              <w:t>（</w:t>
            </w:r>
            <w:r>
              <w:rPr>
                <w:rFonts w:hint="eastAsia" w:ascii="宋体" w:hAnsi="宋体" w:cs="宋体"/>
                <w:b/>
                <w:sz w:val="20"/>
                <w:szCs w:val="20"/>
                <w:lang w:val="en-US" w:eastAsia="zh-CN"/>
              </w:rPr>
              <w:t>2022届优先</w:t>
            </w:r>
            <w:r>
              <w:rPr>
                <w:rFonts w:hint="eastAsia" w:ascii="宋体" w:hAnsi="宋体" w:cs="宋体"/>
                <w:b/>
                <w:sz w:val="20"/>
                <w:szCs w:val="20"/>
                <w:lang w:eastAsia="zh-CN"/>
              </w:rPr>
              <w:t>）</w:t>
            </w:r>
          </w:p>
        </w:tc>
        <w:tc>
          <w:tcPr>
            <w:tcW w:w="2726" w:type="pct"/>
            <w:shd w:val="clear" w:color="auto" w:fill="auto"/>
            <w:vAlign w:val="center"/>
          </w:tcPr>
          <w:p>
            <w:pPr>
              <w:jc w:val="center"/>
              <w:rPr>
                <w:rFonts w:hint="default" w:ascii="宋体" w:hAnsi="宋体" w:eastAsia="宋体" w:cs="宋体"/>
                <w:bCs/>
                <w:sz w:val="20"/>
                <w:szCs w:val="20"/>
                <w:lang w:val="en-US" w:eastAsia="zh-CN"/>
              </w:rPr>
            </w:pPr>
            <w:r>
              <w:rPr>
                <w:rFonts w:hint="eastAsia" w:ascii="宋体" w:hAnsi="宋体" w:eastAsia="宋体" w:cs="宋体"/>
                <w:bCs/>
                <w:sz w:val="20"/>
                <w:szCs w:val="20"/>
              </w:rPr>
              <w:t>土木工程</w:t>
            </w:r>
            <w:r>
              <w:rPr>
                <w:rFonts w:hint="eastAsia" w:ascii="宋体" w:hAnsi="宋体" w:cs="宋体"/>
                <w:bCs/>
                <w:sz w:val="20"/>
                <w:szCs w:val="20"/>
                <w:lang w:val="en-US" w:eastAsia="zh-CN"/>
              </w:rPr>
              <w:t>/工程管理/工程造价/电力建筑工程</w:t>
            </w:r>
          </w:p>
        </w:tc>
        <w:tc>
          <w:tcPr>
            <w:tcW w:w="971" w:type="pct"/>
            <w:vAlign w:val="center"/>
          </w:tcPr>
          <w:p>
            <w:pPr>
              <w:jc w:val="center"/>
              <w:rPr>
                <w:rFonts w:hint="default" w:ascii="宋体" w:hAnsi="宋体" w:eastAsia="宋体" w:cs="宋体"/>
                <w:b/>
                <w:sz w:val="20"/>
                <w:szCs w:val="20"/>
                <w:lang w:val="en-US" w:eastAsia="zh-CN"/>
              </w:rPr>
            </w:pPr>
            <w:r>
              <w:rPr>
                <w:rFonts w:hint="eastAsia" w:ascii="宋体" w:hAnsi="宋体" w:cs="宋体"/>
                <w:b/>
                <w:sz w:val="20"/>
                <w:szCs w:val="20"/>
                <w:lang w:val="en-US" w:eastAsia="zh-CN"/>
              </w:rPr>
              <w:t>10</w:t>
            </w:r>
          </w:p>
        </w:tc>
      </w:tr>
    </w:tbl>
    <w:p>
      <w:pPr>
        <w:widowControl/>
        <w:spacing w:line="440" w:lineRule="exact"/>
        <w:ind w:firstLine="482" w:firstLineChars="200"/>
        <w:jc w:val="left"/>
        <w:outlineLvl w:val="0"/>
        <w:rPr>
          <w:rFonts w:hint="eastAsia" w:ascii="宋体" w:hAnsi="宋体" w:cs="宋体"/>
          <w:b/>
          <w:bCs/>
          <w:kern w:val="0"/>
          <w:sz w:val="24"/>
          <w:szCs w:val="24"/>
        </w:rPr>
      </w:pPr>
      <w:r>
        <w:rPr>
          <w:rFonts w:hint="eastAsia" w:ascii="宋体" w:hAnsi="宋体" w:cs="宋体"/>
          <w:b/>
          <w:bCs/>
          <w:kern w:val="0"/>
          <w:sz w:val="24"/>
          <w:szCs w:val="24"/>
        </w:rPr>
        <w:t>工作地点：新疆昌吉、准东、若羌</w:t>
      </w:r>
      <w:r>
        <w:rPr>
          <w:rFonts w:hint="eastAsia" w:ascii="宋体" w:hAnsi="宋体" w:cs="宋体"/>
          <w:b/>
          <w:bCs/>
          <w:kern w:val="0"/>
          <w:sz w:val="24"/>
          <w:szCs w:val="24"/>
          <w:lang w:eastAsia="zh-CN"/>
        </w:rPr>
        <w:t>（</w:t>
      </w:r>
      <w:r>
        <w:rPr>
          <w:rFonts w:hint="eastAsia" w:ascii="宋体" w:hAnsi="宋体" w:cs="宋体"/>
          <w:b/>
          <w:bCs/>
          <w:kern w:val="0"/>
          <w:sz w:val="24"/>
          <w:szCs w:val="24"/>
          <w:lang w:val="en-US" w:eastAsia="zh-CN"/>
        </w:rPr>
        <w:t>物流/销售类岗位分布全国及疆内各地区</w:t>
      </w:r>
      <w:r>
        <w:rPr>
          <w:rFonts w:hint="eastAsia" w:ascii="宋体" w:hAnsi="宋体" w:cs="宋体"/>
          <w:b/>
          <w:bCs/>
          <w:kern w:val="0"/>
          <w:sz w:val="24"/>
          <w:szCs w:val="24"/>
          <w:lang w:eastAsia="zh-CN"/>
        </w:rPr>
        <w:t>）</w:t>
      </w:r>
    </w:p>
    <w:p>
      <w:pPr>
        <w:widowControl/>
        <w:spacing w:line="440" w:lineRule="exact"/>
        <w:ind w:firstLine="562" w:firstLineChars="200"/>
        <w:jc w:val="left"/>
        <w:outlineLvl w:val="0"/>
        <w:rPr>
          <w:rFonts w:hint="eastAsia" w:ascii="黑体" w:hAnsi="黑体" w:eastAsia="黑体" w:cs="黑体"/>
          <w:b/>
          <w:bCs/>
          <w:kern w:val="0"/>
          <w:sz w:val="28"/>
          <w:szCs w:val="28"/>
        </w:rPr>
      </w:pPr>
      <w:r>
        <w:rPr>
          <w:rFonts w:hint="eastAsia" w:ascii="黑体" w:hAnsi="黑体" w:eastAsia="黑体" w:cs="黑体"/>
          <w:b/>
          <w:bCs/>
          <w:kern w:val="0"/>
          <w:sz w:val="28"/>
          <w:szCs w:val="28"/>
        </w:rPr>
        <w:t>二、招聘条件：</w:t>
      </w:r>
    </w:p>
    <w:p>
      <w:pPr>
        <w:widowControl/>
        <w:spacing w:line="440" w:lineRule="exact"/>
        <w:ind w:left="0" w:firstLine="480" w:firstLineChars="200"/>
        <w:jc w:val="left"/>
        <w:rPr>
          <w:rFonts w:hint="default" w:ascii="宋体" w:hAnsi="宋体" w:eastAsia="宋体" w:cs="宋体"/>
          <w:kern w:val="0"/>
          <w:sz w:val="24"/>
          <w:szCs w:val="24"/>
          <w:lang w:val="en-US" w:eastAsia="zh-CN"/>
        </w:rPr>
      </w:pPr>
      <w:r>
        <w:rPr>
          <w:rFonts w:hint="eastAsia" w:ascii="宋体" w:hAnsi="宋体" w:cs="宋体"/>
          <w:kern w:val="0"/>
          <w:sz w:val="24"/>
          <w:szCs w:val="24"/>
        </w:rPr>
        <w:t>1.国家</w:t>
      </w:r>
      <w:r>
        <w:rPr>
          <w:rFonts w:hint="eastAsia" w:ascii="宋体" w:hAnsi="宋体" w:cs="宋体"/>
          <w:b/>
          <w:bCs/>
          <w:kern w:val="0"/>
          <w:sz w:val="24"/>
          <w:szCs w:val="24"/>
        </w:rPr>
        <w:t>统招博士、硕士、本科</w:t>
      </w:r>
      <w:r>
        <w:rPr>
          <w:rFonts w:hint="eastAsia" w:ascii="宋体" w:hAnsi="宋体" w:cs="宋体"/>
          <w:kern w:val="0"/>
          <w:sz w:val="24"/>
          <w:szCs w:val="24"/>
        </w:rPr>
        <w:t>毕业，</w:t>
      </w:r>
      <w:r>
        <w:rPr>
          <w:rFonts w:hint="eastAsia" w:ascii="宋体" w:hAnsi="宋体" w:cs="宋体"/>
          <w:b/>
          <w:bCs/>
          <w:color w:val="000000" w:themeColor="text1"/>
          <w:kern w:val="0"/>
          <w:sz w:val="24"/>
          <w:szCs w:val="24"/>
          <w14:textFill>
            <w14:solidFill>
              <w14:schemeClr w14:val="tx1"/>
            </w14:solidFill>
          </w14:textFill>
        </w:rPr>
        <w:t>2022届、2023届毕业生</w:t>
      </w:r>
      <w:r>
        <w:rPr>
          <w:rFonts w:hint="eastAsia" w:ascii="宋体" w:hAnsi="宋体" w:cs="宋体"/>
          <w:kern w:val="0"/>
          <w:sz w:val="24"/>
          <w:szCs w:val="24"/>
        </w:rPr>
        <w:t>；</w:t>
      </w:r>
      <w:r>
        <w:rPr>
          <w:rFonts w:hint="eastAsia" w:ascii="宋体" w:hAnsi="宋体" w:cs="宋体"/>
          <w:kern w:val="0"/>
          <w:sz w:val="24"/>
          <w:szCs w:val="24"/>
          <w:lang w:val="en-US" w:eastAsia="zh-CN"/>
        </w:rPr>
        <w:t>全国各区域销售面向</w:t>
      </w:r>
      <w:r>
        <w:rPr>
          <w:rFonts w:hint="eastAsia" w:ascii="宋体" w:hAnsi="宋体" w:cs="宋体"/>
          <w:b/>
          <w:bCs/>
          <w:kern w:val="0"/>
          <w:sz w:val="24"/>
          <w:szCs w:val="24"/>
          <w:lang w:val="en-US" w:eastAsia="zh-CN"/>
        </w:rPr>
        <w:t>2020-2023届</w:t>
      </w:r>
      <w:r>
        <w:rPr>
          <w:rFonts w:hint="eastAsia" w:ascii="宋体" w:hAnsi="宋体" w:cs="宋体"/>
          <w:kern w:val="0"/>
          <w:sz w:val="24"/>
          <w:szCs w:val="24"/>
          <w:lang w:val="en-US" w:eastAsia="zh-CN"/>
        </w:rPr>
        <w:t>统招本科及以上毕业生，</w:t>
      </w:r>
      <w:r>
        <w:rPr>
          <w:rFonts w:hint="eastAsia" w:ascii="宋体" w:hAnsi="宋体" w:cs="宋体"/>
          <w:b/>
          <w:bCs/>
          <w:kern w:val="0"/>
          <w:sz w:val="24"/>
          <w:szCs w:val="24"/>
          <w:lang w:val="en-US" w:eastAsia="zh-CN"/>
        </w:rPr>
        <w:t>转正后两年内底薪8000元/月起</w:t>
      </w:r>
      <w:r>
        <w:rPr>
          <w:rFonts w:hint="eastAsia" w:ascii="宋体" w:hAnsi="宋体" w:cs="宋体"/>
          <w:kern w:val="0"/>
          <w:sz w:val="24"/>
          <w:szCs w:val="24"/>
          <w:lang w:val="en-US" w:eastAsia="zh-CN"/>
        </w:rPr>
        <w:t>。</w:t>
      </w:r>
      <w:bookmarkStart w:id="1" w:name="_GoBack"/>
      <w:bookmarkEnd w:id="1"/>
    </w:p>
    <w:p>
      <w:pPr>
        <w:widowControl/>
        <w:spacing w:line="440" w:lineRule="exact"/>
        <w:ind w:left="0" w:firstLine="480" w:firstLineChars="200"/>
        <w:jc w:val="left"/>
        <w:rPr>
          <w:rFonts w:ascii="宋体" w:hAnsi="宋体" w:cs="宋体"/>
          <w:kern w:val="0"/>
          <w:sz w:val="24"/>
          <w:szCs w:val="24"/>
        </w:rPr>
      </w:pPr>
      <w:r>
        <w:rPr>
          <w:rFonts w:hint="eastAsia" w:ascii="宋体" w:hAnsi="宋体" w:cs="宋体"/>
          <w:kern w:val="0"/>
          <w:sz w:val="24"/>
          <w:szCs w:val="24"/>
        </w:rPr>
        <w:t>2.身心健康，品行端正；</w:t>
      </w:r>
    </w:p>
    <w:p>
      <w:pPr>
        <w:widowControl/>
        <w:spacing w:line="440" w:lineRule="exact"/>
        <w:ind w:left="0" w:firstLine="480" w:firstLineChars="200"/>
        <w:jc w:val="left"/>
        <w:rPr>
          <w:rFonts w:ascii="宋体" w:hAnsi="宋体" w:cs="宋体"/>
          <w:kern w:val="0"/>
          <w:sz w:val="24"/>
          <w:szCs w:val="24"/>
        </w:rPr>
      </w:pPr>
      <w:r>
        <w:rPr>
          <w:rFonts w:hint="eastAsia" w:ascii="宋体" w:hAnsi="宋体" w:cs="宋体"/>
          <w:kern w:val="0"/>
          <w:sz w:val="24"/>
          <w:szCs w:val="24"/>
        </w:rPr>
        <w:t>3.</w:t>
      </w:r>
      <w:r>
        <w:rPr>
          <w:rFonts w:hint="eastAsia" w:ascii="宋体" w:hAnsi="宋体" w:cs="宋体"/>
          <w:b/>
          <w:bCs/>
          <w:kern w:val="0"/>
          <w:sz w:val="24"/>
          <w:szCs w:val="24"/>
        </w:rPr>
        <w:t>学生党员、学生干部、获奖学金、获</w:t>
      </w:r>
      <w:r>
        <w:rPr>
          <w:rFonts w:hint="eastAsia" w:ascii="宋体" w:hAnsi="宋体" w:cs="宋体"/>
          <w:b/>
          <w:bCs/>
          <w:kern w:val="0"/>
          <w:sz w:val="24"/>
          <w:szCs w:val="24"/>
          <w:lang w:val="en-US" w:eastAsia="zh-CN"/>
        </w:rPr>
        <w:t>竞赛奖项</w:t>
      </w:r>
      <w:r>
        <w:rPr>
          <w:rFonts w:hint="eastAsia" w:ascii="宋体" w:hAnsi="宋体" w:cs="宋体"/>
          <w:kern w:val="0"/>
          <w:sz w:val="24"/>
          <w:szCs w:val="24"/>
        </w:rPr>
        <w:t>或</w:t>
      </w:r>
      <w:r>
        <w:rPr>
          <w:rFonts w:hint="eastAsia" w:ascii="宋体" w:hAnsi="宋体" w:cs="宋体"/>
          <w:b/>
          <w:bCs/>
          <w:kern w:val="0"/>
          <w:sz w:val="24"/>
          <w:szCs w:val="24"/>
        </w:rPr>
        <w:t>具备技艺特长</w:t>
      </w:r>
      <w:r>
        <w:rPr>
          <w:rFonts w:hint="eastAsia" w:ascii="宋体" w:hAnsi="宋体" w:cs="宋体"/>
          <w:kern w:val="0"/>
          <w:sz w:val="24"/>
          <w:szCs w:val="24"/>
        </w:rPr>
        <w:t>毕业生优先考虑。</w:t>
      </w:r>
    </w:p>
    <w:p>
      <w:pPr>
        <w:widowControl/>
        <w:spacing w:line="440" w:lineRule="exact"/>
        <w:ind w:left="0" w:firstLine="562" w:firstLineChars="200"/>
        <w:jc w:val="left"/>
        <w:outlineLvl w:val="0"/>
        <w:rPr>
          <w:rFonts w:hint="eastAsia" w:ascii="黑体" w:hAnsi="黑体" w:eastAsia="黑体" w:cs="黑体"/>
          <w:b/>
          <w:bCs/>
          <w:kern w:val="0"/>
          <w:sz w:val="28"/>
          <w:szCs w:val="28"/>
        </w:rPr>
      </w:pPr>
      <w:r>
        <w:rPr>
          <w:rFonts w:hint="eastAsia" w:ascii="黑体" w:hAnsi="黑体" w:eastAsia="黑体" w:cs="黑体"/>
          <w:b/>
          <w:bCs/>
          <w:kern w:val="0"/>
          <w:sz w:val="28"/>
          <w:szCs w:val="28"/>
        </w:rPr>
        <w:t>三、福利待遇：</w:t>
      </w:r>
    </w:p>
    <w:p>
      <w:pPr>
        <w:widowControl/>
        <w:spacing w:line="440" w:lineRule="exact"/>
        <w:ind w:left="0" w:firstLine="482" w:firstLineChars="200"/>
        <w:jc w:val="left"/>
        <w:rPr>
          <w:rFonts w:ascii="宋体" w:hAnsi="宋体" w:cs="宋体"/>
          <w:kern w:val="0"/>
          <w:sz w:val="24"/>
          <w:szCs w:val="24"/>
        </w:rPr>
      </w:pPr>
      <w:r>
        <w:rPr>
          <w:rFonts w:hint="eastAsia" w:ascii="宋体" w:hAnsi="宋体" w:cs="宋体"/>
          <w:b/>
          <w:bCs/>
          <w:kern w:val="0"/>
          <w:sz w:val="24"/>
          <w:szCs w:val="24"/>
        </w:rPr>
        <w:t>1</w:t>
      </w:r>
      <w:r>
        <w:rPr>
          <w:rFonts w:hint="eastAsia" w:ascii="宋体" w:hAnsi="宋体" w:cs="宋体"/>
          <w:kern w:val="0"/>
          <w:sz w:val="24"/>
          <w:szCs w:val="24"/>
        </w:rPr>
        <w:t>.</w:t>
      </w:r>
      <w:r>
        <w:rPr>
          <w:rFonts w:hint="eastAsia" w:ascii="宋体" w:hAnsi="宋体" w:cs="宋体"/>
          <w:b/>
          <w:bCs/>
          <w:kern w:val="0"/>
          <w:sz w:val="24"/>
          <w:szCs w:val="24"/>
        </w:rPr>
        <w:t>社会保障方面：</w:t>
      </w:r>
      <w:r>
        <w:rPr>
          <w:rFonts w:hint="eastAsia" w:ascii="宋体" w:hAnsi="宋体" w:cs="宋体"/>
          <w:kern w:val="0"/>
          <w:sz w:val="24"/>
          <w:szCs w:val="24"/>
        </w:rPr>
        <w:t>缴纳</w:t>
      </w:r>
      <w:r>
        <w:rPr>
          <w:rFonts w:hint="eastAsia" w:ascii="宋体" w:hAnsi="宋体" w:cs="宋体"/>
          <w:b/>
          <w:bCs/>
          <w:kern w:val="0"/>
          <w:sz w:val="24"/>
          <w:szCs w:val="24"/>
        </w:rPr>
        <w:t>“七险一金”</w:t>
      </w:r>
      <w:r>
        <w:rPr>
          <w:rFonts w:hint="eastAsia" w:ascii="宋体" w:hAnsi="宋体" w:cs="宋体"/>
          <w:kern w:val="0"/>
          <w:sz w:val="24"/>
          <w:szCs w:val="24"/>
        </w:rPr>
        <w:t>：养老保险、医疗保险、失业保险、大病保险、工伤保险、生育保险、住房公积金、意外伤害保险、雇主责任险。</w:t>
      </w:r>
    </w:p>
    <w:p>
      <w:pPr>
        <w:widowControl/>
        <w:spacing w:line="440" w:lineRule="exact"/>
        <w:ind w:left="0" w:firstLine="482" w:firstLineChars="200"/>
        <w:jc w:val="left"/>
        <w:rPr>
          <w:rFonts w:ascii="宋体" w:hAnsi="宋体" w:cs="宋体"/>
          <w:b/>
          <w:bCs/>
          <w:kern w:val="0"/>
          <w:sz w:val="24"/>
          <w:szCs w:val="24"/>
        </w:rPr>
      </w:pPr>
      <w:r>
        <w:rPr>
          <w:rFonts w:hint="eastAsia" w:ascii="宋体" w:hAnsi="宋体" w:cs="宋体"/>
          <w:b/>
          <w:bCs/>
          <w:kern w:val="0"/>
          <w:sz w:val="24"/>
          <w:szCs w:val="24"/>
        </w:rPr>
        <w:t>2</w:t>
      </w:r>
      <w:r>
        <w:rPr>
          <w:rFonts w:hint="eastAsia" w:ascii="宋体" w:hAnsi="宋体" w:cs="宋体"/>
          <w:kern w:val="0"/>
          <w:sz w:val="24"/>
          <w:szCs w:val="24"/>
        </w:rPr>
        <w:t>.</w:t>
      </w:r>
      <w:r>
        <w:rPr>
          <w:rFonts w:hint="eastAsia" w:ascii="宋体" w:hAnsi="宋体" w:cs="宋体"/>
          <w:b/>
          <w:bCs/>
          <w:kern w:val="0"/>
          <w:sz w:val="24"/>
          <w:szCs w:val="24"/>
        </w:rPr>
        <w:t>食宿方面：</w:t>
      </w:r>
      <w:r>
        <w:rPr>
          <w:rFonts w:hint="eastAsia" w:ascii="宋体" w:hAnsi="宋体" w:cs="宋体"/>
          <w:b w:val="0"/>
          <w:bCs w:val="0"/>
          <w:kern w:val="0"/>
          <w:sz w:val="24"/>
          <w:szCs w:val="24"/>
          <w:lang w:val="en-US" w:eastAsia="zh-CN"/>
        </w:rPr>
        <w:t>免费</w:t>
      </w:r>
      <w:r>
        <w:rPr>
          <w:rFonts w:hint="eastAsia" w:ascii="宋体" w:hAnsi="宋体" w:cs="宋体"/>
          <w:kern w:val="0"/>
          <w:sz w:val="24"/>
          <w:szCs w:val="24"/>
        </w:rPr>
        <w:t>三星级公寓（独立卫浴、电视、空调、饮水机、冰箱、洗衣机、电脑桌、网络入户等）、四星级员工食堂、内部福利房。</w:t>
      </w:r>
    </w:p>
    <w:p>
      <w:pPr>
        <w:widowControl/>
        <w:spacing w:line="440" w:lineRule="exact"/>
        <w:ind w:left="0" w:firstLine="482" w:firstLineChars="200"/>
        <w:jc w:val="left"/>
        <w:rPr>
          <w:rFonts w:ascii="宋体" w:hAnsi="宋体" w:cs="宋体"/>
          <w:kern w:val="0"/>
          <w:sz w:val="24"/>
          <w:szCs w:val="24"/>
        </w:rPr>
      </w:pPr>
      <w:r>
        <w:rPr>
          <w:rFonts w:hint="eastAsia" w:ascii="宋体" w:hAnsi="宋体" w:cs="宋体"/>
          <w:b/>
          <w:bCs/>
          <w:kern w:val="0"/>
          <w:sz w:val="24"/>
          <w:szCs w:val="24"/>
        </w:rPr>
        <w:t>3</w:t>
      </w:r>
      <w:r>
        <w:rPr>
          <w:rFonts w:hint="eastAsia" w:ascii="宋体" w:hAnsi="宋体" w:cs="宋体"/>
          <w:kern w:val="0"/>
          <w:sz w:val="24"/>
          <w:szCs w:val="24"/>
        </w:rPr>
        <w:t>.</w:t>
      </w:r>
      <w:r>
        <w:rPr>
          <w:rFonts w:hint="eastAsia" w:ascii="宋体" w:hAnsi="宋体" w:cs="宋体"/>
          <w:b/>
          <w:bCs/>
          <w:kern w:val="0"/>
          <w:sz w:val="24"/>
          <w:szCs w:val="24"/>
        </w:rPr>
        <w:t>休假方面：</w:t>
      </w:r>
      <w:r>
        <w:rPr>
          <w:rFonts w:hint="eastAsia" w:ascii="宋体" w:hAnsi="宋体" w:cs="宋体"/>
          <w:kern w:val="0"/>
          <w:sz w:val="24"/>
          <w:szCs w:val="24"/>
        </w:rPr>
        <w:t>带薪年休假、探亲假（报销往返路费）、国家法定节假日。</w:t>
      </w:r>
    </w:p>
    <w:p>
      <w:pPr>
        <w:widowControl/>
        <w:spacing w:line="440" w:lineRule="exact"/>
        <w:ind w:left="0" w:firstLine="482" w:firstLineChars="200"/>
        <w:jc w:val="left"/>
        <w:rPr>
          <w:rFonts w:ascii="宋体" w:hAnsi="宋体" w:cs="宋体"/>
          <w:kern w:val="0"/>
          <w:sz w:val="24"/>
          <w:szCs w:val="24"/>
        </w:rPr>
      </w:pPr>
      <w:r>
        <w:rPr>
          <w:rFonts w:hint="eastAsia" w:ascii="宋体" w:hAnsi="宋体" w:cs="宋体"/>
          <w:b/>
          <w:bCs/>
          <w:kern w:val="0"/>
          <w:sz w:val="24"/>
          <w:szCs w:val="24"/>
        </w:rPr>
        <w:t>4</w:t>
      </w:r>
      <w:r>
        <w:rPr>
          <w:rFonts w:hint="eastAsia" w:ascii="宋体" w:hAnsi="宋体" w:cs="宋体"/>
          <w:kern w:val="0"/>
          <w:sz w:val="24"/>
          <w:szCs w:val="24"/>
        </w:rPr>
        <w:t>.</w:t>
      </w:r>
      <w:r>
        <w:rPr>
          <w:rFonts w:hint="eastAsia" w:ascii="宋体" w:hAnsi="宋体" w:cs="宋体"/>
          <w:b/>
          <w:bCs/>
          <w:kern w:val="0"/>
          <w:sz w:val="24"/>
          <w:szCs w:val="24"/>
        </w:rPr>
        <w:t>其他方面：</w:t>
      </w:r>
      <w:r>
        <w:rPr>
          <w:rFonts w:hint="eastAsia" w:ascii="宋体" w:hAnsi="宋体" w:cs="宋体"/>
          <w:kern w:val="0"/>
          <w:sz w:val="24"/>
          <w:szCs w:val="24"/>
        </w:rPr>
        <w:t>新生报到报销路费、节日福利（每人每年3000余元、餐费补贴、冬菜补助、中夜班补贴、地区津贴、现场津贴、生日补助、高温补贴、话费补贴、免费通勤车接送、员工超市、室内活动中心（乒乓球馆、篮球场、台球馆、羽毛球馆）、室外运动场（塑胶跑道、灯光篮球场、网球场、羽毛球场）、青年联谊、集体婚礼、每年免费体检等。</w:t>
      </w:r>
    </w:p>
    <w:p>
      <w:pPr>
        <w:widowControl/>
        <w:spacing w:line="440" w:lineRule="exact"/>
        <w:ind w:left="0" w:firstLine="562" w:firstLineChars="200"/>
        <w:jc w:val="left"/>
        <w:outlineLvl w:val="0"/>
        <w:rPr>
          <w:rFonts w:hint="eastAsia" w:ascii="黑体" w:hAnsi="黑体" w:eastAsia="黑体" w:cs="黑体"/>
          <w:b/>
          <w:bCs/>
          <w:kern w:val="0"/>
          <w:sz w:val="28"/>
          <w:szCs w:val="28"/>
        </w:rPr>
      </w:pPr>
      <w:r>
        <w:rPr>
          <w:rFonts w:hint="eastAsia" w:ascii="黑体" w:hAnsi="黑体" w:eastAsia="黑体" w:cs="黑体"/>
          <w:b/>
          <w:bCs/>
          <w:kern w:val="0"/>
          <w:sz w:val="28"/>
          <w:szCs w:val="28"/>
        </w:rPr>
        <w:t>四、员工成长</w:t>
      </w:r>
    </w:p>
    <w:p>
      <w:pPr>
        <w:widowControl/>
        <w:spacing w:line="440" w:lineRule="exact"/>
        <w:ind w:left="0" w:firstLine="482" w:firstLineChars="200"/>
        <w:jc w:val="left"/>
        <w:rPr>
          <w:rFonts w:ascii="宋体" w:hAnsi="宋体" w:cs="宋体"/>
          <w:b/>
          <w:bCs/>
          <w:kern w:val="0"/>
          <w:sz w:val="24"/>
          <w:szCs w:val="24"/>
        </w:rPr>
      </w:pPr>
      <w:r>
        <w:rPr>
          <w:rFonts w:hint="eastAsia" w:ascii="宋体" w:hAnsi="宋体" w:cs="宋体"/>
          <w:b/>
          <w:bCs/>
          <w:kern w:val="0"/>
          <w:sz w:val="24"/>
          <w:szCs w:val="24"/>
        </w:rPr>
        <w:t>发展过程中：</w:t>
      </w:r>
      <w:r>
        <w:rPr>
          <w:rFonts w:hint="eastAsia" w:ascii="宋体" w:hAnsi="宋体" w:cs="宋体"/>
          <w:kern w:val="0"/>
          <w:sz w:val="24"/>
          <w:szCs w:val="24"/>
        </w:rPr>
        <w:t>H型双通道培养、季度/年度岗位竞聘。</w:t>
      </w:r>
    </w:p>
    <w:p>
      <w:pPr>
        <w:widowControl/>
        <w:spacing w:line="440" w:lineRule="exact"/>
        <w:ind w:left="0" w:firstLine="562" w:firstLineChars="200"/>
        <w:jc w:val="left"/>
        <w:outlineLvl w:val="0"/>
        <w:rPr>
          <w:rFonts w:hint="eastAsia" w:ascii="黑体" w:hAnsi="黑体" w:eastAsia="黑体" w:cs="黑体"/>
          <w:b/>
          <w:bCs/>
          <w:kern w:val="0"/>
          <w:sz w:val="28"/>
          <w:szCs w:val="28"/>
        </w:rPr>
      </w:pPr>
      <w:r>
        <w:rPr>
          <w:rFonts w:hint="eastAsia" w:ascii="黑体" w:hAnsi="黑体" w:eastAsia="黑体" w:cs="黑体"/>
          <w:b/>
          <w:bCs/>
          <w:kern w:val="0"/>
          <w:sz w:val="28"/>
          <w:szCs w:val="28"/>
        </w:rPr>
        <w:t>五、简历投递</w:t>
      </w:r>
      <w:r>
        <w:rPr>
          <w:rFonts w:hint="eastAsia" w:ascii="黑体" w:hAnsi="黑体" w:eastAsia="黑体" w:cs="黑体"/>
          <w:b/>
          <w:bCs/>
          <w:kern w:val="0"/>
          <w:sz w:val="28"/>
          <w:szCs w:val="28"/>
          <w:lang w:val="en-US" w:eastAsia="zh-CN"/>
        </w:rPr>
        <w:t>方式</w:t>
      </w:r>
    </w:p>
    <w:p>
      <w:pPr>
        <w:widowControl/>
        <w:spacing w:line="440" w:lineRule="exact"/>
        <w:ind w:left="0" w:firstLine="480" w:firstLineChars="200"/>
        <w:jc w:val="left"/>
        <w:rPr>
          <w:rFonts w:ascii="宋体" w:hAnsi="宋体" w:cs="宋体"/>
          <w:kern w:val="0"/>
          <w:sz w:val="24"/>
          <w:szCs w:val="24"/>
        </w:rPr>
      </w:pPr>
      <w:r>
        <w:rPr>
          <w:rFonts w:hint="eastAsia" w:ascii="宋体" w:hAnsi="宋体" w:cs="宋体"/>
          <w:b w:val="0"/>
          <w:bCs w:val="0"/>
          <w:kern w:val="0"/>
          <w:sz w:val="24"/>
          <w:szCs w:val="24"/>
        </w:rPr>
        <w:t>招聘流程：</w:t>
      </w:r>
      <w:r>
        <w:rPr>
          <w:rFonts w:hint="eastAsia" w:ascii="宋体" w:hAnsi="宋体" w:cs="宋体"/>
          <w:kern w:val="0"/>
          <w:sz w:val="24"/>
          <w:szCs w:val="24"/>
        </w:rPr>
        <w:t>网申—简历筛选—线上初试—测评/复试—签订就业协议。</w:t>
      </w:r>
    </w:p>
    <w:p>
      <w:pPr>
        <w:ind w:firstLine="562" w:firstLineChars="200"/>
        <w:rPr>
          <w:rFonts w:hint="eastAsia" w:ascii="华文中宋" w:hAnsi="华文中宋" w:eastAsia="华文中宋" w:cs="华文中宋"/>
          <w:b/>
          <w:bCs/>
          <w:kern w:val="0"/>
          <w:sz w:val="24"/>
          <w:szCs w:val="24"/>
          <w:u w:val="single"/>
          <w:lang w:val="en-US" w:eastAsia="zh-CN"/>
        </w:rPr>
      </w:pPr>
      <w:r>
        <w:rPr>
          <w:rFonts w:hint="eastAsia" w:ascii="黑体" w:hAnsi="黑体" w:eastAsia="黑体" w:cs="黑体"/>
          <w:b/>
          <w:bCs/>
          <w:kern w:val="0"/>
          <w:sz w:val="28"/>
          <w:szCs w:val="28"/>
        </w:rPr>
        <w:t>六、联系我们</w:t>
      </w:r>
      <w:r>
        <w:rPr>
          <w:rFonts w:hint="eastAsia" w:ascii="宋体" w:hAnsi="宋体" w:cs="宋体"/>
          <w:b/>
          <w:bCs/>
          <w:kern w:val="0"/>
          <w:sz w:val="24"/>
          <w:szCs w:val="24"/>
          <w:lang w:val="en-US" w:eastAsia="zh-CN"/>
        </w:rPr>
        <w:t xml:space="preserve">                </w:t>
      </w:r>
    </w:p>
    <w:p>
      <w:pPr>
        <w:widowControl/>
        <w:spacing w:line="440" w:lineRule="exact"/>
        <w:ind w:firstLine="480" w:firstLineChars="200"/>
        <w:jc w:val="left"/>
        <w:outlineLvl w:val="0"/>
        <w:rPr>
          <w:rFonts w:hint="eastAsia" w:ascii="宋体" w:hAnsi="宋体" w:cs="宋体"/>
          <w:kern w:val="0"/>
          <w:sz w:val="24"/>
          <w:szCs w:val="24"/>
        </w:rPr>
      </w:pPr>
      <w:r>
        <w:rPr>
          <w:rFonts w:hint="eastAsia" w:ascii="宋体" w:hAnsi="宋体" w:cs="宋体"/>
          <w:kern w:val="0"/>
          <w:sz w:val="24"/>
          <w:szCs w:val="24"/>
        </w:rPr>
        <w:t>招聘热线：0994-6123333</w:t>
      </w:r>
    </w:p>
    <w:p>
      <w:pPr>
        <w:widowControl/>
        <w:spacing w:line="440" w:lineRule="exact"/>
        <w:ind w:firstLine="480" w:firstLineChars="200"/>
        <w:jc w:val="left"/>
        <w:outlineLvl w:val="0"/>
        <w:rPr>
          <w:rFonts w:hint="eastAsia" w:ascii="宋体" w:hAnsi="宋体" w:cs="宋体"/>
          <w:kern w:val="0"/>
          <w:sz w:val="24"/>
          <w:szCs w:val="24"/>
          <w:lang w:val="en-US" w:eastAsia="zh-CN"/>
        </w:rPr>
      </w:pPr>
      <w:r>
        <w:rPr>
          <w:rFonts w:hint="eastAsia" w:ascii="宋体" w:hAnsi="宋体" w:cs="宋体"/>
          <w:kern w:val="0"/>
          <w:sz w:val="24"/>
          <w:szCs w:val="24"/>
        </w:rPr>
        <w:t>联系人</w:t>
      </w:r>
      <w:r>
        <w:rPr>
          <w:rFonts w:hint="eastAsia" w:ascii="宋体" w:hAnsi="宋体" w:cs="宋体"/>
          <w:kern w:val="0"/>
          <w:sz w:val="24"/>
          <w:szCs w:val="24"/>
          <w:lang w:val="en-US" w:eastAsia="zh-CN"/>
        </w:rPr>
        <w:t>员</w:t>
      </w:r>
      <w:r>
        <w:rPr>
          <w:rFonts w:hint="eastAsia" w:ascii="宋体" w:hAnsi="宋体" w:cs="宋体"/>
          <w:kern w:val="0"/>
          <w:sz w:val="24"/>
          <w:szCs w:val="24"/>
        </w:rPr>
        <w:t>：</w:t>
      </w:r>
      <w:r>
        <w:rPr>
          <w:rFonts w:hint="eastAsia" w:ascii="宋体" w:hAnsi="宋体" w:cs="宋体"/>
          <w:kern w:val="0"/>
          <w:sz w:val="24"/>
          <w:szCs w:val="24"/>
          <w:lang w:val="en-US" w:eastAsia="zh-CN"/>
        </w:rPr>
        <w:t>王先生18342865540（微信同号）</w:t>
      </w:r>
    </w:p>
    <w:p>
      <w:pPr>
        <w:widowControl/>
        <w:spacing w:line="440" w:lineRule="exact"/>
        <w:ind w:firstLine="1680" w:firstLineChars="700"/>
        <w:jc w:val="left"/>
        <w:outlineLvl w:val="0"/>
        <w:rPr>
          <w:rFonts w:hint="default" w:ascii="宋体" w:hAnsi="宋体" w:cs="宋体"/>
          <w:kern w:val="0"/>
          <w:sz w:val="24"/>
          <w:szCs w:val="24"/>
          <w:lang w:val="en-US" w:eastAsia="zh-CN"/>
        </w:rPr>
      </w:pPr>
      <w:r>
        <w:rPr>
          <w:rFonts w:hint="eastAsia" w:ascii="宋体" w:hAnsi="宋体" w:cs="宋体"/>
          <w:kern w:val="0"/>
          <w:sz w:val="24"/>
          <w:szCs w:val="24"/>
          <w:lang w:val="en-US" w:eastAsia="zh-CN"/>
        </w:rPr>
        <w:t>高先生13639934546（微信同号）</w:t>
      </w:r>
    </w:p>
    <w:p>
      <w:pPr>
        <w:widowControl/>
        <w:spacing w:line="440" w:lineRule="exact"/>
        <w:ind w:firstLine="480" w:firstLineChars="200"/>
        <w:jc w:val="left"/>
        <w:outlineLvl w:val="0"/>
        <w:rPr>
          <w:rFonts w:ascii="宋体" w:hAnsi="宋体" w:cs="宋体"/>
          <w:kern w:val="0"/>
          <w:sz w:val="24"/>
          <w:szCs w:val="24"/>
        </w:rPr>
      </w:pPr>
      <w:r>
        <w:rPr>
          <w:rFonts w:hint="eastAsia" w:ascii="宋体" w:hAnsi="宋体" w:cs="宋体"/>
          <w:kern w:val="0"/>
          <w:sz w:val="24"/>
          <w:szCs w:val="24"/>
        </w:rPr>
        <w:t>邮箱：</w:t>
      </w:r>
      <w:r>
        <w:fldChar w:fldCharType="begin"/>
      </w:r>
      <w:r>
        <w:instrText xml:space="preserve"> HYPERLINK "mailto:tcnyzhaopin@tbea.com" </w:instrText>
      </w:r>
      <w:r>
        <w:fldChar w:fldCharType="separate"/>
      </w:r>
      <w:r>
        <w:rPr>
          <w:rStyle w:val="10"/>
          <w:rFonts w:hint="eastAsia" w:ascii="宋体" w:hAnsi="宋体" w:cs="宋体"/>
          <w:kern w:val="0"/>
          <w:sz w:val="24"/>
          <w:szCs w:val="24"/>
        </w:rPr>
        <w:t>tcnyzhaopin@tbea.com</w:t>
      </w:r>
      <w:r>
        <w:rPr>
          <w:rStyle w:val="10"/>
          <w:rFonts w:hint="eastAsia" w:ascii="宋体" w:hAnsi="宋体" w:cs="宋体"/>
          <w:kern w:val="0"/>
          <w:sz w:val="24"/>
          <w:szCs w:val="24"/>
        </w:rPr>
        <w:fldChar w:fldCharType="end"/>
      </w:r>
    </w:p>
    <w:p>
      <w:pPr>
        <w:widowControl/>
        <w:spacing w:line="440" w:lineRule="exact"/>
        <w:ind w:firstLine="480" w:firstLineChars="200"/>
        <w:jc w:val="left"/>
        <w:outlineLvl w:val="0"/>
        <w:rPr>
          <w:rFonts w:hint="default" w:ascii="宋体" w:hAnsi="宋体" w:eastAsia="宋体" w:cs="宋体"/>
          <w:kern w:val="0"/>
          <w:sz w:val="24"/>
          <w:szCs w:val="24"/>
          <w:lang w:val="en-US" w:eastAsia="zh-CN"/>
        </w:rPr>
      </w:pPr>
      <w:r>
        <w:rPr>
          <w:rFonts w:hint="eastAsia" w:ascii="宋体" w:hAnsi="宋体" w:cs="宋体"/>
          <w:kern w:val="0"/>
          <w:sz w:val="24"/>
          <w:szCs w:val="24"/>
        </w:rPr>
        <w:t>网申地址：</w:t>
      </w:r>
      <w:r>
        <w:rPr>
          <w:rFonts w:hint="eastAsia" w:ascii="宋体" w:hAnsi="宋体" w:cs="宋体"/>
          <w:kern w:val="0"/>
          <w:sz w:val="24"/>
          <w:szCs w:val="24"/>
          <w:lang w:val="en-US" w:eastAsia="zh-CN"/>
        </w:rPr>
        <w:t>详见宣传长页</w:t>
      </w:r>
    </w:p>
    <w:p>
      <w:pPr>
        <w:widowControl/>
        <w:spacing w:line="440" w:lineRule="exact"/>
        <w:ind w:firstLine="480" w:firstLineChars="200"/>
        <w:jc w:val="left"/>
        <w:outlineLvl w:val="0"/>
        <w:rPr>
          <w:rFonts w:hint="eastAsia" w:ascii="宋体" w:hAnsi="宋体" w:cs="宋体"/>
          <w:kern w:val="0"/>
          <w:sz w:val="24"/>
          <w:szCs w:val="24"/>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r>
        <w:rPr>
          <w:rFonts w:hint="eastAsia"/>
        </w:rPr>
        <w:drawing>
          <wp:anchor distT="0" distB="0" distL="114300" distR="114300" simplePos="0" relativeHeight="251672576" behindDoc="0" locked="0" layoutInCell="1" allowOverlap="1">
            <wp:simplePos x="0" y="0"/>
            <wp:positionH relativeFrom="column">
              <wp:posOffset>82550</wp:posOffset>
            </wp:positionH>
            <wp:positionV relativeFrom="paragraph">
              <wp:posOffset>7620</wp:posOffset>
            </wp:positionV>
            <wp:extent cx="6094730" cy="2444115"/>
            <wp:effectExtent l="0" t="0" r="1270" b="6985"/>
            <wp:wrapNone/>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6"/>
                    <a:stretch>
                      <a:fillRect/>
                    </a:stretch>
                  </pic:blipFill>
                  <pic:spPr>
                    <a:xfrm>
                      <a:off x="0" y="0"/>
                      <a:ext cx="6094730" cy="2444115"/>
                    </a:xfrm>
                    <a:prstGeom prst="rect">
                      <a:avLst/>
                    </a:prstGeom>
                    <a:noFill/>
                    <a:ln>
                      <a:noFill/>
                    </a:ln>
                    <a:effectLst>
                      <a:softEdge rad="63500"/>
                    </a:effectLst>
                  </pic:spPr>
                </pic:pic>
              </a:graphicData>
            </a:graphic>
          </wp:anchor>
        </w:drawing>
      </w: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Style w:val="8"/>
          <w:rFonts w:ascii="宋体" w:hAnsi="宋体" w:cs="宋体"/>
          <w:sz w:val="21"/>
          <w:szCs w:val="21"/>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pPr>
    </w:p>
    <w:p>
      <w:pPr>
        <w:pStyle w:val="4"/>
        <w:spacing w:before="75" w:beforeAutospacing="0" w:after="75" w:afterAutospacing="0" w:line="315" w:lineRule="atLeast"/>
      </w:pPr>
      <w:r>
        <w:drawing>
          <wp:anchor distT="0" distB="0" distL="114300" distR="114300" simplePos="0" relativeHeight="251671552" behindDoc="0" locked="0" layoutInCell="1" allowOverlap="1">
            <wp:simplePos x="0" y="0"/>
            <wp:positionH relativeFrom="column">
              <wp:posOffset>76200</wp:posOffset>
            </wp:positionH>
            <wp:positionV relativeFrom="paragraph">
              <wp:posOffset>230505</wp:posOffset>
            </wp:positionV>
            <wp:extent cx="6094730" cy="2388870"/>
            <wp:effectExtent l="0" t="0" r="1270" b="11430"/>
            <wp:wrapNone/>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7"/>
                    <a:stretch>
                      <a:fillRect/>
                    </a:stretch>
                  </pic:blipFill>
                  <pic:spPr>
                    <a:xfrm>
                      <a:off x="0" y="0"/>
                      <a:ext cx="6094730" cy="2388870"/>
                    </a:xfrm>
                    <a:prstGeom prst="rect">
                      <a:avLst/>
                    </a:prstGeom>
                    <a:noFill/>
                    <a:ln>
                      <a:noFill/>
                    </a:ln>
                    <a:effectLst>
                      <a:softEdge rad="63500"/>
                    </a:effectLst>
                  </pic:spPr>
                </pic:pic>
              </a:graphicData>
            </a:graphic>
          </wp:anchor>
        </w:drawing>
      </w:r>
      <w:r>
        <w:rPr>
          <w:rFonts w:hint="eastAsia"/>
        </w:rPr>
        <w:t>上图：昌吉热电厂</w:t>
      </w: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Fonts w:hint="eastAsia"/>
        </w:rPr>
      </w:pPr>
      <w:r>
        <w:rPr>
          <w:rFonts w:hint="eastAsia"/>
        </w:rPr>
        <w:t>上图：北一电厂</w:t>
      </w:r>
    </w:p>
    <w:p>
      <w:pPr>
        <w:pStyle w:val="4"/>
        <w:spacing w:before="75" w:beforeAutospacing="0" w:after="75" w:afterAutospacing="0" w:line="315" w:lineRule="atLeast"/>
        <w:rPr>
          <w:rStyle w:val="8"/>
          <w:rFonts w:ascii="宋体" w:hAnsi="宋体" w:cs="宋体"/>
          <w:sz w:val="21"/>
          <w:szCs w:val="21"/>
        </w:rPr>
      </w:pPr>
      <w:r>
        <w:drawing>
          <wp:anchor distT="0" distB="0" distL="114300" distR="114300" simplePos="0" relativeHeight="251673600" behindDoc="0" locked="0" layoutInCell="1" allowOverlap="1">
            <wp:simplePos x="0" y="0"/>
            <wp:positionH relativeFrom="column">
              <wp:posOffset>63500</wp:posOffset>
            </wp:positionH>
            <wp:positionV relativeFrom="paragraph">
              <wp:posOffset>43180</wp:posOffset>
            </wp:positionV>
            <wp:extent cx="6143625" cy="2489200"/>
            <wp:effectExtent l="0" t="0" r="0" b="0"/>
            <wp:wrapSquare wrapText="bothSides"/>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8"/>
                    <a:srcRect l="8583" r="-572" b="33623"/>
                    <a:stretch>
                      <a:fillRect/>
                    </a:stretch>
                  </pic:blipFill>
                  <pic:spPr>
                    <a:xfrm>
                      <a:off x="0" y="0"/>
                      <a:ext cx="6143625" cy="2489200"/>
                    </a:xfrm>
                    <a:prstGeom prst="rect">
                      <a:avLst/>
                    </a:prstGeom>
                    <a:noFill/>
                    <a:ln>
                      <a:noFill/>
                    </a:ln>
                    <a:effectLst>
                      <a:softEdge rad="63500"/>
                    </a:effectLst>
                  </pic:spPr>
                </pic:pic>
              </a:graphicData>
            </a:graphic>
          </wp:anchor>
        </w:drawing>
      </w:r>
      <w:r>
        <w:rPr>
          <w:rFonts w:hint="eastAsia"/>
        </w:rPr>
        <w:t>上图：南露天煤矿</w:t>
      </w:r>
    </w:p>
    <w:p>
      <w:pPr>
        <w:pStyle w:val="4"/>
        <w:spacing w:before="75" w:beforeAutospacing="0" w:after="75" w:afterAutospacing="0" w:line="315" w:lineRule="atLeast"/>
      </w:pPr>
      <w:r>
        <w:drawing>
          <wp:inline distT="0" distB="0" distL="114300" distR="114300">
            <wp:extent cx="6250305" cy="1563370"/>
            <wp:effectExtent l="0" t="0" r="10795"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6250305" cy="1563370"/>
                    </a:xfrm>
                    <a:prstGeom prst="rect">
                      <a:avLst/>
                    </a:prstGeom>
                    <a:noFill/>
                    <a:ln>
                      <a:noFill/>
                    </a:ln>
                    <a:effectLst>
                      <a:softEdge rad="63500"/>
                    </a:effectLst>
                  </pic:spPr>
                </pic:pic>
              </a:graphicData>
            </a:graphic>
          </wp:inline>
        </w:drawing>
      </w:r>
    </w:p>
    <w:p>
      <w:pPr>
        <w:pStyle w:val="4"/>
        <w:spacing w:before="75" w:beforeAutospacing="0" w:after="75" w:afterAutospacing="0" w:line="315" w:lineRule="atLeast"/>
      </w:pPr>
      <w:r>
        <w:drawing>
          <wp:anchor distT="0" distB="0" distL="114300" distR="114300" simplePos="0" relativeHeight="251663360" behindDoc="0" locked="0" layoutInCell="1" allowOverlap="1">
            <wp:simplePos x="0" y="0"/>
            <wp:positionH relativeFrom="page">
              <wp:posOffset>819785</wp:posOffset>
            </wp:positionH>
            <wp:positionV relativeFrom="page">
              <wp:posOffset>2634615</wp:posOffset>
            </wp:positionV>
            <wp:extent cx="2990215" cy="1748155"/>
            <wp:effectExtent l="0" t="0" r="6985" b="444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2990215" cy="1748155"/>
                    </a:xfrm>
                    <a:prstGeom prst="rect">
                      <a:avLst/>
                    </a:prstGeom>
                    <a:noFill/>
                    <a:ln>
                      <a:noFill/>
                    </a:ln>
                    <a:effectLst>
                      <a:softEdge rad="63500"/>
                    </a:effectLst>
                  </pic:spPr>
                </pic:pic>
              </a:graphicData>
            </a:graphic>
          </wp:anchor>
        </w:drawing>
      </w:r>
      <w:r>
        <w:drawing>
          <wp:anchor distT="0" distB="0" distL="114300" distR="114300" simplePos="0" relativeHeight="251664384" behindDoc="0" locked="0" layoutInCell="1" allowOverlap="1">
            <wp:simplePos x="0" y="0"/>
            <wp:positionH relativeFrom="column">
              <wp:posOffset>3142615</wp:posOffset>
            </wp:positionH>
            <wp:positionV relativeFrom="paragraph">
              <wp:posOffset>212090</wp:posOffset>
            </wp:positionV>
            <wp:extent cx="3060065" cy="1715770"/>
            <wp:effectExtent l="0" t="0" r="635" b="1143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3060065" cy="1715770"/>
                    </a:xfrm>
                    <a:prstGeom prst="rect">
                      <a:avLst/>
                    </a:prstGeom>
                    <a:noFill/>
                    <a:ln>
                      <a:noFill/>
                    </a:ln>
                    <a:effectLst>
                      <a:softEdge rad="63500"/>
                    </a:effectLst>
                  </pic:spPr>
                </pic:pic>
              </a:graphicData>
            </a:graphic>
          </wp:anchor>
        </w:drawing>
      </w:r>
      <w:r>
        <w:rPr>
          <w:rFonts w:hint="eastAsia"/>
        </w:rPr>
        <w:t>上图：将二露天煤矿</w:t>
      </w: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r>
        <w:drawing>
          <wp:anchor distT="0" distB="0" distL="114300" distR="114300" simplePos="0" relativeHeight="251665408" behindDoc="0" locked="0" layoutInCell="1" allowOverlap="1">
            <wp:simplePos x="0" y="0"/>
            <wp:positionH relativeFrom="column">
              <wp:posOffset>64770</wp:posOffset>
            </wp:positionH>
            <wp:positionV relativeFrom="paragraph">
              <wp:posOffset>22225</wp:posOffset>
            </wp:positionV>
            <wp:extent cx="3031490" cy="1732280"/>
            <wp:effectExtent l="0" t="0" r="3810" b="762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3031490" cy="1732280"/>
                    </a:xfrm>
                    <a:prstGeom prst="rect">
                      <a:avLst/>
                    </a:prstGeom>
                    <a:noFill/>
                    <a:ln>
                      <a:noFill/>
                    </a:ln>
                    <a:effectLst>
                      <a:softEdge rad="63500"/>
                    </a:effectLst>
                  </pic:spPr>
                </pic:pic>
              </a:graphicData>
            </a:graphic>
          </wp:anchor>
        </w:drawing>
      </w:r>
      <w:r>
        <w:drawing>
          <wp:anchor distT="0" distB="0" distL="114300" distR="114300" simplePos="0" relativeHeight="251666432" behindDoc="0" locked="0" layoutInCell="1" allowOverlap="1">
            <wp:simplePos x="0" y="0"/>
            <wp:positionH relativeFrom="column">
              <wp:posOffset>3153410</wp:posOffset>
            </wp:positionH>
            <wp:positionV relativeFrom="paragraph">
              <wp:posOffset>26035</wp:posOffset>
            </wp:positionV>
            <wp:extent cx="3061335" cy="1762125"/>
            <wp:effectExtent l="0" t="0" r="1905" b="5715"/>
            <wp:wrapNone/>
            <wp:docPr id="13" name="图片 5" descr="C:\Users\M.wawa\Desktop\宿舍.jpg宿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C:\Users\M.wawa\Desktop\宿舍.jpg宿舍"/>
                    <pic:cNvPicPr>
                      <a:picLocks noChangeAspect="1"/>
                    </pic:cNvPicPr>
                  </pic:nvPicPr>
                  <pic:blipFill>
                    <a:blip r:embed="rId13"/>
                    <a:srcRect/>
                    <a:stretch>
                      <a:fillRect/>
                    </a:stretch>
                  </pic:blipFill>
                  <pic:spPr>
                    <a:xfrm>
                      <a:off x="0" y="0"/>
                      <a:ext cx="3061335" cy="1762125"/>
                    </a:xfrm>
                    <a:prstGeom prst="rect">
                      <a:avLst/>
                    </a:prstGeom>
                    <a:noFill/>
                    <a:ln>
                      <a:noFill/>
                    </a:ln>
                    <a:effectLst>
                      <a:softEdge rad="63500"/>
                    </a:effectLst>
                  </pic:spPr>
                </pic:pic>
              </a:graphicData>
            </a:graphic>
          </wp:anchor>
        </w:drawing>
      </w: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r>
        <w:drawing>
          <wp:anchor distT="0" distB="0" distL="114300" distR="114300" simplePos="0" relativeHeight="251667456" behindDoc="0" locked="0" layoutInCell="1" allowOverlap="1">
            <wp:simplePos x="0" y="0"/>
            <wp:positionH relativeFrom="column">
              <wp:posOffset>85725</wp:posOffset>
            </wp:positionH>
            <wp:positionV relativeFrom="paragraph">
              <wp:posOffset>70485</wp:posOffset>
            </wp:positionV>
            <wp:extent cx="6149975" cy="1687830"/>
            <wp:effectExtent l="0" t="0" r="9525" b="127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6149975" cy="1687830"/>
                    </a:xfrm>
                    <a:prstGeom prst="rect">
                      <a:avLst/>
                    </a:prstGeom>
                    <a:noFill/>
                    <a:ln>
                      <a:noFill/>
                    </a:ln>
                    <a:effectLst>
                      <a:softEdge rad="63500"/>
                    </a:effectLst>
                  </pic:spPr>
                </pic:pic>
              </a:graphicData>
            </a:graphic>
          </wp:anchor>
        </w:drawing>
      </w: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p>
    <w:p>
      <w:pPr>
        <w:pStyle w:val="4"/>
        <w:spacing w:before="75" w:beforeAutospacing="0" w:after="75" w:afterAutospacing="0" w:line="315" w:lineRule="atLeast"/>
      </w:pPr>
      <w:r>
        <w:rPr>
          <w:rFonts w:hint="eastAsia"/>
        </w:rPr>
        <w:t xml:space="preserve"> </w:t>
      </w:r>
    </w:p>
    <w:p>
      <w:pPr>
        <w:pStyle w:val="4"/>
        <w:spacing w:before="75" w:beforeAutospacing="0" w:after="75" w:afterAutospacing="0" w:line="315" w:lineRule="atLeast"/>
      </w:pPr>
      <w:r>
        <w:rPr>
          <w:rFonts w:hint="eastAsia"/>
        </w:rPr>
        <w:t>上图：食宿环境（商务区及项目公司）</w:t>
      </w:r>
    </w:p>
    <w:p>
      <w:pPr>
        <w:pStyle w:val="4"/>
        <w:spacing w:before="75" w:beforeAutospacing="0" w:after="75" w:afterAutospacing="0" w:line="315" w:lineRule="atLeast"/>
      </w:pPr>
      <w:r>
        <w:rPr>
          <w:rFonts w:hint="eastAsia"/>
        </w:rPr>
        <w:drawing>
          <wp:anchor distT="0" distB="0" distL="114300" distR="114300" simplePos="0" relativeHeight="251669504" behindDoc="0" locked="0" layoutInCell="1" allowOverlap="1">
            <wp:simplePos x="0" y="0"/>
            <wp:positionH relativeFrom="column">
              <wp:posOffset>2140585</wp:posOffset>
            </wp:positionH>
            <wp:positionV relativeFrom="paragraph">
              <wp:posOffset>38100</wp:posOffset>
            </wp:positionV>
            <wp:extent cx="2033905" cy="1517015"/>
            <wp:effectExtent l="0" t="0" r="10795" b="6985"/>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5"/>
                    <a:srcRect l="2887" t="3578" r="2887" b="2783"/>
                    <a:stretch>
                      <a:fillRect/>
                    </a:stretch>
                  </pic:blipFill>
                  <pic:spPr>
                    <a:xfrm>
                      <a:off x="0" y="0"/>
                      <a:ext cx="2033905" cy="1517015"/>
                    </a:xfrm>
                    <a:prstGeom prst="rect">
                      <a:avLst/>
                    </a:prstGeom>
                    <a:noFill/>
                    <a:ln>
                      <a:noFill/>
                    </a:ln>
                    <a:effectLst>
                      <a:softEdge rad="63500"/>
                    </a:effectLst>
                  </pic:spPr>
                </pic:pic>
              </a:graphicData>
            </a:graphic>
          </wp:anchor>
        </w:drawing>
      </w:r>
      <w:r>
        <w:rPr>
          <w:rFonts w:hint="eastAsia"/>
        </w:rPr>
        <w:drawing>
          <wp:anchor distT="0" distB="0" distL="114300" distR="114300" simplePos="0" relativeHeight="251668480" behindDoc="0" locked="0" layoutInCell="1" allowOverlap="1">
            <wp:simplePos x="0" y="0"/>
            <wp:positionH relativeFrom="column">
              <wp:posOffset>4168775</wp:posOffset>
            </wp:positionH>
            <wp:positionV relativeFrom="paragraph">
              <wp:posOffset>75565</wp:posOffset>
            </wp:positionV>
            <wp:extent cx="2045335" cy="1486535"/>
            <wp:effectExtent l="0" t="0" r="12065" b="12065"/>
            <wp:wrapNone/>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6"/>
                    <a:srcRect l="1881" t="4396" r="3294" b="3249"/>
                    <a:stretch>
                      <a:fillRect/>
                    </a:stretch>
                  </pic:blipFill>
                  <pic:spPr>
                    <a:xfrm>
                      <a:off x="0" y="0"/>
                      <a:ext cx="2045335" cy="1486535"/>
                    </a:xfrm>
                    <a:prstGeom prst="rect">
                      <a:avLst/>
                    </a:prstGeom>
                    <a:noFill/>
                    <a:ln>
                      <a:noFill/>
                    </a:ln>
                    <a:effectLst>
                      <a:softEdge rad="63500"/>
                    </a:effectLst>
                  </pic:spPr>
                </pic:pic>
              </a:graphicData>
            </a:graphic>
          </wp:anchor>
        </w:drawing>
      </w:r>
      <w:r>
        <w:drawing>
          <wp:anchor distT="0" distB="0" distL="114300" distR="114300" simplePos="0" relativeHeight="251670528" behindDoc="0" locked="0" layoutInCell="1" allowOverlap="1">
            <wp:simplePos x="0" y="0"/>
            <wp:positionH relativeFrom="column">
              <wp:posOffset>106680</wp:posOffset>
            </wp:positionH>
            <wp:positionV relativeFrom="paragraph">
              <wp:posOffset>18415</wp:posOffset>
            </wp:positionV>
            <wp:extent cx="2016125" cy="1543685"/>
            <wp:effectExtent l="0" t="0" r="3175" b="5715"/>
            <wp:wrapNone/>
            <wp:docPr id="10" name="图片 15" descr="健身教练为员工讲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健身教练为员工讲解"/>
                    <pic:cNvPicPr>
                      <a:picLocks noChangeAspect="1"/>
                    </pic:cNvPicPr>
                  </pic:nvPicPr>
                  <pic:blipFill>
                    <a:blip r:embed="rId17"/>
                    <a:srcRect l="1447" t="3517" r="2104" b="2591"/>
                    <a:stretch>
                      <a:fillRect/>
                    </a:stretch>
                  </pic:blipFill>
                  <pic:spPr>
                    <a:xfrm>
                      <a:off x="0" y="0"/>
                      <a:ext cx="2016125" cy="1543685"/>
                    </a:xfrm>
                    <a:prstGeom prst="rect">
                      <a:avLst/>
                    </a:prstGeom>
                    <a:noFill/>
                    <a:ln>
                      <a:noFill/>
                    </a:ln>
                    <a:effectLst>
                      <a:softEdge rad="63500"/>
                    </a:effectLst>
                  </pic:spPr>
                </pic:pic>
              </a:graphicData>
            </a:graphic>
          </wp:anchor>
        </w:drawing>
      </w:r>
    </w:p>
    <w:p>
      <w:pPr>
        <w:pStyle w:val="4"/>
        <w:spacing w:before="75" w:beforeAutospacing="0" w:after="75" w:afterAutospacing="0" w:line="315" w:lineRule="atLeast"/>
      </w:pPr>
    </w:p>
    <w:p>
      <w:pPr>
        <w:pStyle w:val="4"/>
        <w:spacing w:before="75" w:beforeAutospacing="0" w:after="75" w:afterAutospacing="0" w:line="315" w:lineRule="atLeast"/>
      </w:pPr>
      <w:r>
        <w:drawing>
          <wp:anchor distT="0" distB="0" distL="114300" distR="114300" simplePos="0" relativeHeight="251661312" behindDoc="1" locked="0" layoutInCell="1" allowOverlap="1">
            <wp:simplePos x="0" y="0"/>
            <wp:positionH relativeFrom="column">
              <wp:posOffset>2955290</wp:posOffset>
            </wp:positionH>
            <wp:positionV relativeFrom="paragraph">
              <wp:posOffset>48895</wp:posOffset>
            </wp:positionV>
            <wp:extent cx="3122295" cy="2415540"/>
            <wp:effectExtent l="0" t="0" r="1905" b="0"/>
            <wp:wrapThrough wrapText="bothSides">
              <wp:wrapPolygon>
                <wp:start x="176" y="0"/>
                <wp:lineTo x="0" y="227"/>
                <wp:lineTo x="0" y="21237"/>
                <wp:lineTo x="176" y="21464"/>
                <wp:lineTo x="21350" y="21464"/>
                <wp:lineTo x="21525" y="21237"/>
                <wp:lineTo x="21525" y="227"/>
                <wp:lineTo x="21350" y="0"/>
                <wp:lineTo x="176" y="0"/>
              </wp:wrapPolygon>
            </wp:wrapThrough>
            <wp:docPr id="12" name="图片 11" descr="C:\Users\M.wawa\Desktop\健身.jpg健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C:\Users\M.wawa\Desktop\健身.jpg健身"/>
                    <pic:cNvPicPr>
                      <a:picLocks noChangeAspect="1"/>
                    </pic:cNvPicPr>
                  </pic:nvPicPr>
                  <pic:blipFill>
                    <a:blip r:embed="rId18"/>
                    <a:srcRect/>
                    <a:stretch>
                      <a:fillRect/>
                    </a:stretch>
                  </pic:blipFill>
                  <pic:spPr>
                    <a:xfrm>
                      <a:off x="0" y="0"/>
                      <a:ext cx="3122295" cy="2415540"/>
                    </a:xfrm>
                    <a:prstGeom prst="rect">
                      <a:avLst/>
                    </a:prstGeom>
                    <a:noFill/>
                    <a:ln>
                      <a:noFill/>
                    </a:ln>
                    <a:effectLst>
                      <a:softEdge rad="63500"/>
                    </a:effectLst>
                  </pic:spPr>
                </pic:pic>
              </a:graphicData>
            </a:graphic>
          </wp:anchor>
        </w:drawing>
      </w:r>
      <w:r>
        <w:rPr>
          <w:rFonts w:hint="eastAsia"/>
        </w:rPr>
        <w:drawing>
          <wp:anchor distT="0" distB="0" distL="114300" distR="114300" simplePos="0" relativeHeight="251660288" behindDoc="1" locked="0" layoutInCell="1" allowOverlap="1">
            <wp:simplePos x="0" y="0"/>
            <wp:positionH relativeFrom="column">
              <wp:posOffset>18415</wp:posOffset>
            </wp:positionH>
            <wp:positionV relativeFrom="paragraph">
              <wp:posOffset>48895</wp:posOffset>
            </wp:positionV>
            <wp:extent cx="2869565" cy="2408555"/>
            <wp:effectExtent l="0" t="0" r="10795" b="14605"/>
            <wp:wrapTight wrapText="bothSides">
              <wp:wrapPolygon>
                <wp:start x="0" y="0"/>
                <wp:lineTo x="0" y="21458"/>
                <wp:lineTo x="21452" y="21458"/>
                <wp:lineTo x="21452" y="0"/>
                <wp:lineTo x="0" y="0"/>
              </wp:wrapPolygon>
            </wp:wrapTight>
            <wp:docPr id="16" name="图片 12" descr="C:\Users\M.wawa\Desktop\健身1.JPG健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C:\Users\M.wawa\Desktop\健身1.JPG健身1"/>
                    <pic:cNvPicPr>
                      <a:picLocks noChangeAspect="1"/>
                    </pic:cNvPicPr>
                  </pic:nvPicPr>
                  <pic:blipFill>
                    <a:blip r:embed="rId19"/>
                    <a:srcRect/>
                    <a:stretch>
                      <a:fillRect/>
                    </a:stretch>
                  </pic:blipFill>
                  <pic:spPr>
                    <a:xfrm>
                      <a:off x="0" y="0"/>
                      <a:ext cx="2869565" cy="2408555"/>
                    </a:xfrm>
                    <a:prstGeom prst="rect">
                      <a:avLst/>
                    </a:prstGeom>
                    <a:noFill/>
                    <a:ln>
                      <a:noFill/>
                    </a:ln>
                    <a:effectLst>
                      <a:softEdge rad="63500"/>
                    </a:effectLst>
                  </pic:spPr>
                </pic:pic>
              </a:graphicData>
            </a:graphic>
          </wp:anchor>
        </w:drawing>
      </w:r>
      <w:r>
        <w:rPr>
          <w:rFonts w:hint="eastAsia"/>
        </w:rPr>
        <w:t>上图：室内健身、运动场所（羽毛球、篮球、乒乓球）</w:t>
      </w:r>
    </w:p>
    <w:p>
      <w:pPr>
        <w:pStyle w:val="4"/>
        <w:spacing w:before="75" w:beforeAutospacing="0" w:after="75" w:afterAutospacing="0" w:line="315" w:lineRule="atLeast"/>
        <w:rPr>
          <w:rFonts w:hint="eastAsia"/>
        </w:rPr>
      </w:pPr>
      <w:r>
        <w:rPr>
          <w:rFonts w:hint="eastAsia"/>
        </w:rPr>
        <w:drawing>
          <wp:anchor distT="0" distB="0" distL="114300" distR="114300" simplePos="0" relativeHeight="251662336" behindDoc="0" locked="0" layoutInCell="1" allowOverlap="1">
            <wp:simplePos x="0" y="0"/>
            <wp:positionH relativeFrom="column">
              <wp:posOffset>-41275</wp:posOffset>
            </wp:positionH>
            <wp:positionV relativeFrom="paragraph">
              <wp:posOffset>635</wp:posOffset>
            </wp:positionV>
            <wp:extent cx="6108065" cy="2832735"/>
            <wp:effectExtent l="0" t="0" r="635" b="12065"/>
            <wp:wrapNone/>
            <wp:docPr id="1" name="图片 13" descr="1598419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1598419004(1)"/>
                    <pic:cNvPicPr>
                      <a:picLocks noChangeAspect="1"/>
                    </pic:cNvPicPr>
                  </pic:nvPicPr>
                  <pic:blipFill>
                    <a:blip r:embed="rId20"/>
                    <a:stretch>
                      <a:fillRect/>
                    </a:stretch>
                  </pic:blipFill>
                  <pic:spPr>
                    <a:xfrm>
                      <a:off x="0" y="0"/>
                      <a:ext cx="6108065" cy="2832735"/>
                    </a:xfrm>
                    <a:prstGeom prst="rect">
                      <a:avLst/>
                    </a:prstGeom>
                    <a:noFill/>
                    <a:ln>
                      <a:noFill/>
                    </a:ln>
                    <a:effectLst>
                      <a:softEdge rad="63500"/>
                    </a:effectLst>
                  </pic:spPr>
                </pic:pic>
              </a:graphicData>
            </a:graphic>
          </wp:anchor>
        </w:drawing>
      </w:r>
    </w:p>
    <w:p>
      <w:pPr>
        <w:pStyle w:val="4"/>
        <w:spacing w:before="75" w:beforeAutospacing="0" w:after="75" w:afterAutospacing="0" w:line="315" w:lineRule="atLeast"/>
        <w:rPr>
          <w:rFonts w:hint="eastAsia"/>
        </w:rPr>
      </w:pPr>
    </w:p>
    <w:p>
      <w:pPr>
        <w:pStyle w:val="4"/>
        <w:spacing w:before="75" w:beforeAutospacing="0" w:after="75" w:afterAutospacing="0" w:line="315" w:lineRule="atLeast"/>
        <w:rPr>
          <w:rStyle w:val="8"/>
          <w:rFonts w:ascii="宋体" w:hAnsi="宋体" w:cs="宋体"/>
          <w:sz w:val="21"/>
          <w:szCs w:val="21"/>
        </w:rPr>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4"/>
        <w:spacing w:before="75" w:beforeAutospacing="0" w:after="75" w:afterAutospacing="0" w:line="315" w:lineRule="atLeast"/>
      </w:pPr>
      <w:r>
        <w:rPr>
          <w:rFonts w:hint="eastAsia"/>
        </w:rPr>
        <w:t>上图：特变电工商务区总部</w:t>
      </w:r>
    </w:p>
    <w:p>
      <w:pPr>
        <w:pStyle w:val="2"/>
      </w:pPr>
    </w:p>
    <w:sectPr>
      <w:headerReference r:id="rId3" w:type="default"/>
      <w:footerReference r:id="rId4" w:type="default"/>
      <w:pgSz w:w="11906" w:h="16838"/>
      <w:pgMar w:top="1134" w:right="1134" w:bottom="1134" w:left="1134" w:header="964"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fal">
    <w:altName w:val="宋体"/>
    <w:panose1 w:val="00000000000000000000"/>
    <w:charset w:val="86"/>
    <w:family w:val="auto"/>
    <w:pitch w:val="default"/>
    <w:sig w:usb0="00000000" w:usb1="00000000" w:usb2="00000010" w:usb3="00000000" w:csb0="00040000" w:csb1="00000000"/>
  </w:font>
  <w:font w:name="方正小标宋简体">
    <w:altName w:val="方正舒体"/>
    <w:panose1 w:val="03000509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9"/>
      </w:rPr>
    </w:pPr>
    <w:r>
      <w:fldChar w:fldCharType="begin"/>
    </w:r>
    <w:r>
      <w:rPr>
        <w:rStyle w:val="9"/>
      </w:rPr>
      <w:instrText xml:space="preserve">PAGE  </w:instrText>
    </w:r>
    <w:r>
      <w:fldChar w:fldCharType="separate"/>
    </w:r>
    <w:r>
      <w:rPr>
        <w:rStyle w:val="9"/>
      </w:rPr>
      <w:t>2</w:t>
    </w:r>
    <w:r>
      <w:fldChar w:fldCharType="end"/>
    </w:r>
  </w:p>
  <w:p>
    <w:pPr>
      <w:pStyle w:val="3"/>
      <w:ind w:firstLine="6570" w:firstLineChars="3650"/>
    </w:pPr>
    <w:r>
      <w:drawing>
        <wp:anchor distT="0" distB="0" distL="114300" distR="114300" simplePos="0" relativeHeight="251659264" behindDoc="1" locked="0" layoutInCell="1" allowOverlap="1">
          <wp:simplePos x="0" y="0"/>
          <wp:positionH relativeFrom="column">
            <wp:posOffset>3888740</wp:posOffset>
          </wp:positionH>
          <wp:positionV relativeFrom="paragraph">
            <wp:posOffset>-47625</wp:posOffset>
          </wp:positionV>
          <wp:extent cx="1871345" cy="177800"/>
          <wp:effectExtent l="0" t="0" r="8255" b="0"/>
          <wp:wrapSquare wrapText="bothSides"/>
          <wp:docPr id="3" name="图片 1"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未标题-2"/>
                  <pic:cNvPicPr>
                    <a:picLocks noChangeAspect="1"/>
                  </pic:cNvPicPr>
                </pic:nvPicPr>
                <pic:blipFill>
                  <a:blip r:embed="rId1"/>
                  <a:srcRect l="9103" t="61417" r="9103"/>
                  <a:stretch>
                    <a:fillRect/>
                  </a:stretch>
                </pic:blipFill>
                <pic:spPr>
                  <a:xfrm>
                    <a:off x="0" y="0"/>
                    <a:ext cx="1871345" cy="177800"/>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1733550" cy="142875"/>
          <wp:effectExtent l="0" t="0" r="6350" b="9525"/>
          <wp:docPr id="2" name="图片 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未标题-2"/>
                  <pic:cNvPicPr>
                    <a:picLocks noChangeAspect="1"/>
                  </pic:cNvPicPr>
                </pic:nvPicPr>
                <pic:blipFill>
                  <a:blip r:embed="rId1"/>
                  <a:srcRect b="55730"/>
                  <a:stretch>
                    <a:fillRect/>
                  </a:stretch>
                </pic:blipFill>
                <pic:spPr>
                  <a:xfrm>
                    <a:off x="0" y="0"/>
                    <a:ext cx="1733550" cy="1428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MGEzMzkyZmRkY2Q3YzU2MDY1NDk3ZWJjYTRjMDQifQ=="/>
    <w:docVar w:name="KSO_WPS_MARK_KEY" w:val="35cb2985-8ef2-489b-8788-a49d190e7d61"/>
  </w:docVars>
  <w:rsids>
    <w:rsidRoot w:val="10106C81"/>
    <w:rsid w:val="001D4232"/>
    <w:rsid w:val="004C77D3"/>
    <w:rsid w:val="00A8001B"/>
    <w:rsid w:val="00B406C6"/>
    <w:rsid w:val="01073362"/>
    <w:rsid w:val="01B91162"/>
    <w:rsid w:val="02F762B2"/>
    <w:rsid w:val="03B33D9B"/>
    <w:rsid w:val="03BF57A9"/>
    <w:rsid w:val="03CA5319"/>
    <w:rsid w:val="05F81055"/>
    <w:rsid w:val="070F5BE9"/>
    <w:rsid w:val="080B33DE"/>
    <w:rsid w:val="08A52FEB"/>
    <w:rsid w:val="0A351168"/>
    <w:rsid w:val="0C9D720F"/>
    <w:rsid w:val="0CE3424E"/>
    <w:rsid w:val="0CF8112C"/>
    <w:rsid w:val="0D792F2F"/>
    <w:rsid w:val="0FC37F98"/>
    <w:rsid w:val="10106C81"/>
    <w:rsid w:val="126E4950"/>
    <w:rsid w:val="127540C6"/>
    <w:rsid w:val="128E11D9"/>
    <w:rsid w:val="13541895"/>
    <w:rsid w:val="16DB5005"/>
    <w:rsid w:val="17214184"/>
    <w:rsid w:val="1CB270E6"/>
    <w:rsid w:val="1FB913FE"/>
    <w:rsid w:val="21624113"/>
    <w:rsid w:val="240633F7"/>
    <w:rsid w:val="270F77FE"/>
    <w:rsid w:val="27F541B1"/>
    <w:rsid w:val="290A1443"/>
    <w:rsid w:val="2922033A"/>
    <w:rsid w:val="2A66663D"/>
    <w:rsid w:val="2D8B0DAD"/>
    <w:rsid w:val="2EFC5F33"/>
    <w:rsid w:val="2F78277C"/>
    <w:rsid w:val="308C1F42"/>
    <w:rsid w:val="31051D5E"/>
    <w:rsid w:val="32474FBA"/>
    <w:rsid w:val="33F90BF8"/>
    <w:rsid w:val="34D53C83"/>
    <w:rsid w:val="350663FB"/>
    <w:rsid w:val="38932136"/>
    <w:rsid w:val="390163A8"/>
    <w:rsid w:val="3FDD6B2C"/>
    <w:rsid w:val="402E1612"/>
    <w:rsid w:val="41E478B9"/>
    <w:rsid w:val="437A0087"/>
    <w:rsid w:val="44564BBE"/>
    <w:rsid w:val="476D367F"/>
    <w:rsid w:val="48351B87"/>
    <w:rsid w:val="492D715F"/>
    <w:rsid w:val="4C172E84"/>
    <w:rsid w:val="4D29340B"/>
    <w:rsid w:val="504053EE"/>
    <w:rsid w:val="517B5C63"/>
    <w:rsid w:val="51A923EB"/>
    <w:rsid w:val="5415239F"/>
    <w:rsid w:val="56C54A66"/>
    <w:rsid w:val="57C56E0F"/>
    <w:rsid w:val="59717C0A"/>
    <w:rsid w:val="60663E1D"/>
    <w:rsid w:val="615956E4"/>
    <w:rsid w:val="627D650F"/>
    <w:rsid w:val="64B61035"/>
    <w:rsid w:val="65A0333F"/>
    <w:rsid w:val="66016892"/>
    <w:rsid w:val="663527B0"/>
    <w:rsid w:val="673F502F"/>
    <w:rsid w:val="6A481B54"/>
    <w:rsid w:val="6A845731"/>
    <w:rsid w:val="6BD85D34"/>
    <w:rsid w:val="6DC23F28"/>
    <w:rsid w:val="6E71421E"/>
    <w:rsid w:val="70A403FE"/>
    <w:rsid w:val="779D3188"/>
    <w:rsid w:val="787B51EF"/>
    <w:rsid w:val="791242F7"/>
    <w:rsid w:val="79A60B23"/>
    <w:rsid w:val="7C32282D"/>
    <w:rsid w:val="7C336FB7"/>
    <w:rsid w:val="7FBF5B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样式1"/>
    <w:basedOn w:val="1"/>
    <w:qFormat/>
    <w:uiPriority w:val="0"/>
  </w:style>
  <w:style w:type="paragraph" w:styleId="3">
    <w:name w:val="footer"/>
    <w:basedOn w:val="1"/>
    <w:qFormat/>
    <w:uiPriority w:val="99"/>
    <w:pPr>
      <w:tabs>
        <w:tab w:val="center" w:pos="4153"/>
        <w:tab w:val="right" w:pos="8306"/>
      </w:tabs>
      <w:snapToGrid w:val="0"/>
      <w:jc w:val="left"/>
    </w:pPr>
    <w:rPr>
      <w:kern w:val="0"/>
      <w:sz w:val="18"/>
      <w:szCs w:val="18"/>
    </w:rPr>
  </w:style>
  <w:style w:type="paragraph" w:styleId="4">
    <w:name w:val="Normal (Web)"/>
    <w:basedOn w:val="1"/>
    <w:qFormat/>
    <w:uiPriority w:val="99"/>
    <w:pPr>
      <w:widowControl/>
      <w:spacing w:beforeAutospacing="1" w:afterAutospacing="1"/>
      <w:jc w:val="left"/>
    </w:pPr>
    <w:rPr>
      <w:rFonts w:ascii="宋体fal" w:hAnsi="宋体fal" w:cs="宋体fal"/>
      <w:color w:val="000000"/>
      <w:kern w:val="0"/>
      <w:sz w:val="24"/>
      <w:szCs w:val="24"/>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qFormat/>
    <w:uiPriority w:val="0"/>
    <w:rPr>
      <w:b/>
    </w:rPr>
  </w:style>
  <w:style w:type="character" w:styleId="9">
    <w:name w:val="page number"/>
    <w:qFormat/>
    <w:uiPriority w:val="99"/>
    <w:rPr>
      <w:rFonts w:cs="Times New Roman"/>
    </w:rPr>
  </w:style>
  <w:style w:type="character" w:styleId="10">
    <w:name w:val="Hyperlink"/>
    <w:qFormat/>
    <w:uiPriority w:val="99"/>
    <w:rPr>
      <w:rFonts w:cs="Times New Roman"/>
      <w:color w:val="0000FF"/>
      <w:u w:val="single"/>
    </w:rPr>
  </w:style>
  <w:style w:type="paragraph" w:customStyle="1" w:styleId="11">
    <w:name w:val="p0"/>
    <w:basedOn w:val="1"/>
    <w:qFormat/>
    <w:uiPriority w:val="99"/>
    <w:pPr>
      <w:widowControl/>
    </w:pPr>
    <w:rPr>
      <w:rFonts w:ascii="Calibri" w:hAnsi="Calibri" w:cs="Calibri"/>
      <w:kern w:val="0"/>
    </w:rPr>
  </w:style>
  <w:style w:type="paragraph" w:customStyle="1" w:styleId="12">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D2171-9F88-47FB-B4FE-DCAFD7976F05}">
  <ds:schemaRefs/>
</ds:datastoreItem>
</file>

<file path=docProps/app.xml><?xml version="1.0" encoding="utf-8"?>
<Properties xmlns="http://schemas.openxmlformats.org/officeDocument/2006/extended-properties" xmlns:vt="http://schemas.openxmlformats.org/officeDocument/2006/docPropsVTypes">
  <Template>Normal.dotm</Template>
  <Pages>7</Pages>
  <Words>3463</Words>
  <Characters>3743</Characters>
  <Lines>27</Lines>
  <Paragraphs>7</Paragraphs>
  <TotalTime>0</TotalTime>
  <ScaleCrop>false</ScaleCrop>
  <LinksUpToDate>false</LinksUpToDate>
  <CharactersWithSpaces>3769</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2022-08-30T04:45:00Z</dcterms:created>
  <dc:creator> 我属兔</dc:creator>
  <cp:lastModifiedBy>不见大河不见君</cp:lastModifiedBy>
  <dcterms:modified xsi:type="dcterms:W3CDTF">2023-02-20T04:52:58Z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1D6C324DC2644D63A57FD175BDB97C3A</vt:lpwstr>
  </property>
</Properties>
</file>