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sz w:val="48"/>
          <w:szCs w:val="24"/>
        </w:rPr>
      </w:pPr>
      <w:bookmarkStart w:id="0" w:name="_Toc494113250"/>
      <w:r>
        <w:rPr>
          <w:rFonts w:hint="eastAsia" w:ascii="黑体" w:hAnsi="黑体" w:eastAsia="黑体"/>
          <w:b/>
          <w:bCs/>
          <w:sz w:val="40"/>
          <w:szCs w:val="40"/>
        </w:rPr>
        <w:t>千喜鹤</w:t>
      </w:r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>公司</w:t>
      </w:r>
      <w:r>
        <w:rPr>
          <w:rFonts w:hint="eastAsia" w:ascii="黑体" w:hAnsi="黑体" w:eastAsia="黑体"/>
          <w:b/>
          <w:bCs/>
          <w:sz w:val="40"/>
          <w:szCs w:val="40"/>
        </w:rPr>
        <w:t>2022</w:t>
      </w:r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>届</w:t>
      </w:r>
      <w:r>
        <w:rPr>
          <w:rFonts w:hint="eastAsia" w:ascii="黑体" w:hAnsi="黑体" w:eastAsia="黑体"/>
          <w:b/>
          <w:bCs/>
          <w:sz w:val="40"/>
          <w:szCs w:val="40"/>
        </w:rPr>
        <w:t>全国校园招聘简章</w:t>
      </w:r>
    </w:p>
    <w:p>
      <w:pPr>
        <w:wordWrap w:val="0"/>
        <w:spacing w:line="360" w:lineRule="auto"/>
        <w:jc w:val="right"/>
        <w:rPr>
          <w:rFonts w:hint="eastAsia" w:ascii="黑体" w:hAnsi="黑体" w:eastAsia="黑体" w:cs="黑体"/>
          <w:b/>
          <w:bCs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—</w:t>
      </w:r>
      <w:bookmarkStart w:id="1" w:name="_Hlk19806188"/>
      <w:r>
        <w:rPr>
          <w:rFonts w:hint="eastAsia" w:ascii="黑体" w:hAnsi="黑体" w:eastAsia="黑体" w:cs="黑体"/>
          <w:b/>
          <w:bCs/>
          <w:sz w:val="32"/>
          <w:szCs w:val="28"/>
        </w:rPr>
        <w:t>-未来已至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·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青春当燃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千喜鹤</w:t>
      </w:r>
      <w:r>
        <w:rPr>
          <w:rFonts w:hint="eastAsia" w:ascii="仿宋" w:hAnsi="仿宋" w:eastAsia="仿宋" w:cs="仿宋"/>
          <w:sz w:val="24"/>
          <w:szCs w:val="24"/>
        </w:rPr>
        <w:t>成立于1993年，经营范围涉及：团餐、餐饮管理咨询、便利店、肉食品工业、商业地产、投融资等多个领域，拥有20多个公司实体，资产规模185亿元，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2020年公司餐饮产业链销售总收入逾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329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亿元，员工总数近12万人。在全国31个省、市、自治区设立了200余个管理区，保障2700余家餐厅，承担600多万人一日三餐的饮食保障工作。连续多年被中国烹饪协会授予中国餐饮百强企业、中国餐饮业十大品牌企业、中国十大团餐品牌企业等荣誉称号。2020年被评为中国民营企业500强第239名，是唯一一家入选的餐饮企业。</w:t>
      </w:r>
    </w:p>
    <w:p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千喜鹤创投系是千喜鹤董事会直属的创</w:t>
      </w:r>
      <w:r>
        <w:rPr>
          <w:rFonts w:hint="eastAsia" w:ascii="仿宋" w:hAnsi="仿宋" w:eastAsia="仿宋" w:cs="仿宋"/>
          <w:sz w:val="24"/>
          <w:szCs w:val="24"/>
        </w:rPr>
        <w:t>新型战略投资团队，团队以团餐领军、供应链整合、金融赋能作为业务主线。着力打造CSW（共创、共享、共赢）平台，已在全国22个省份为员工提供就业岗位。公司通过整合种植基地、加工工厂、销售渠道，积极与国际、国内资本建立合作，现已完成“供应链”、“供应链金融”、“智慧团餐”等多领域的上市规划布局。通过嫁接供应链配送体系与供应链金融体系，链接现代农业基地，对传统团餐食品多维度升级，生产定制内需型产品和外供型产品，致力于打造团餐3.0生态产业链。</w:t>
      </w:r>
    </w:p>
    <w:p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中食汇是千喜鹤搭建的以科技塑造餐饮新生态的开放服务平台，致力于通过互联网、大数 据、人工智能等科技手段推动餐饮产业深度变革，以颠覆性科技创新，加速信息 融合步伐，突破传统经营瓶颈，为千万从业者提供一站式科技服务，革新中国 14 亿百姓的日常饮食体验，重塑餐饮食品农业全生态产业链，引领行业发展潮流。</w:t>
      </w:r>
    </w:p>
    <w:p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本期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“未来已至·青春当燃”</w:t>
      </w:r>
      <w:r>
        <w:rPr>
          <w:rFonts w:hint="eastAsia" w:ascii="仿宋" w:hAnsi="仿宋" w:eastAsia="仿宋" w:cs="仿宋"/>
          <w:sz w:val="24"/>
          <w:szCs w:val="24"/>
        </w:rPr>
        <w:t>2022届千喜鹤校园招聘计划，旨在为企业培养、储备、输送各类中高级管理人才。广阔的发展平台，新鲜的血液活力，千喜鹤是你实现人生梦想的舞台！期待你的加入！</w:t>
      </w:r>
    </w:p>
    <w:p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after="0" w:line="36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岗位信息与福利待遇</w:t>
      </w:r>
      <w:bookmarkEnd w:id="0"/>
      <w:bookmarkEnd w:id="1"/>
    </w:p>
    <w:tbl>
      <w:tblPr>
        <w:tblStyle w:val="12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420"/>
        <w:gridCol w:w="2660"/>
        <w:gridCol w:w="2300"/>
        <w:gridCol w:w="1260"/>
      </w:tblGrid>
      <w:tr>
        <w:trPr>
          <w:trHeight w:val="655" w:hRule="atLeast"/>
          <w:jc w:val="center"/>
        </w:trPr>
        <w:tc>
          <w:tcPr>
            <w:tcW w:w="1488" w:type="dxa"/>
            <w:shd w:val="clear" w:color="000000" w:fill="CCE3F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Toc494113289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420" w:type="dxa"/>
            <w:shd w:val="clear" w:color="000000" w:fill="CCE3F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660" w:type="dxa"/>
            <w:shd w:val="clear" w:color="000000" w:fill="CCE3F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2300" w:type="dxa"/>
            <w:shd w:val="clear" w:color="000000" w:fill="CCE3F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260" w:type="dxa"/>
            <w:shd w:val="clear" w:color="000000" w:fill="CCE3F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董事会管培生（数据分析方向）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统计学，应用数学、金融、计算机相关专业优先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精通Excel、Python等常用的数据分析工具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，数据敏感，清晰的逻辑思维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通过数据分析，输出报告，提出优化方案，完成领导安排的其他工作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总裁助理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专业不限。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工商管理、企业管理、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行政、秘书学、公共管理等专业优先录用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Office、PPT应用及制作能力强，沟通、组织、策划能力突出，文案功底深厚；广泛参与校园及社会实践活动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信息收集、数据整理、商务活动、关系维护等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0" w:hRule="atLeast"/>
          <w:jc w:val="center"/>
        </w:trPr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供应链助理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电子商务、信息管理、物流、供应链等相关专业及大学生士兵优先录用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抗压能力突出，有较好的逻辑思维和沟通能力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物流计划、仓储及物料管理、供应链业务拓展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0" w:hRule="atLeast"/>
          <w:jc w:val="center"/>
        </w:trPr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数据分析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计算机、统计学、数学、信息管理等相关专业优先录用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熟练运用 SQL ，掌握 hive 等相关数据工具；有较强的分析和总结能力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数据挖掘、数据整理、业务分析、行业研究等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0" w:hRule="atLeast"/>
          <w:jc w:val="center"/>
        </w:trPr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HR管培生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人力资源、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社会保障学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等相关专业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熟悉国家相关人力资源管理法律法规，专业课成绩优异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招聘、培训、薪酬福利、员工关系等工作的落实与管控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rPr>
          <w:trHeight w:val="1510" w:hRule="atLeast"/>
          <w:jc w:val="center"/>
        </w:trPr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法务助理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法律相关专业，通过国家司法考试者、有事务所或法院相关实习经历者优先录用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熟悉合同法、劳动法、公司法、经济法等法律法规、政策条例；专业成绩优异，有较强的分析和总结能力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合同起草及审定、纠纷沟通与处理、关系调节与维权、风险预判与督导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5人</w:t>
            </w:r>
          </w:p>
        </w:tc>
      </w:tr>
      <w:tr>
        <w:trPr>
          <w:trHeight w:val="2131" w:hRule="atLeast"/>
          <w:jc w:val="center"/>
        </w:trPr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财务助理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财务、审计、会计相关专业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熟练运用金蝶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相关财务软件；专业成绩优异，有较强的分析总结能力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报表制作与审核、费用报销与办理、税务审核与对接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储备店长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专业不限。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物流、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食品科学、食品安全等相关专业优先录用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抗压能力突出，有较好的组织和沟通能力，热爱餐饮行业，接受全国出差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工厂规范化的操作管理（车间、品控、仓储物流、研发等）；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确保三安、餐厅巡检、食安培训、风险管控等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市场开发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储备经理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具备较强的人际沟通能力，及逻辑思维能力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，富有激情，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热爱挑战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面向本地餐饮相关商户及服务方、供应商，拓展并维护新老商户上线中食汇平台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产品经理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管培生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专业不限，计算机、软件相关专业优先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具有敏锐的洞察力，注重细节；逻辑严谨，善于沟通，对互联网行业有浓厚兴趣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提升产品质量，对产品项目进行分析管控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UI设计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管培生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视觉设计相关专业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有良好的审美能力，有创新精神，热衷体验新鲜的互联网产品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负责公司移动端、小程序和 PC 端 UI 产品的整体界面风格设定和页面设计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产品运营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管培生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专业不限，计算机、软件相关专业优先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具有敏锐的洞察力，注重细节；逻辑严谨，善于沟通，对互联网行业有浓厚兴趣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负责日常后台数据检测、更新、维护；输出运营报表，统计分析运营数据；配合团队执行各项推广运营工作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8人</w:t>
            </w:r>
          </w:p>
        </w:tc>
      </w:tr>
    </w:tbl>
    <w:p>
      <w:pPr>
        <w:pStyle w:val="2"/>
        <w:spacing w:after="0"/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2"/>
        <w:spacing w:after="0"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注：以上各岗位中，有部队服役经历的大学生优先录用！</w:t>
      </w:r>
    </w:p>
    <w:p>
      <w:pPr>
        <w:pStyle w:val="2"/>
        <w:spacing w:after="0"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pStyle w:val="5"/>
        <w:spacing w:before="0" w:after="0"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（二）薪资待遇</w:t>
      </w:r>
      <w:bookmarkEnd w:id="2"/>
    </w:p>
    <w:p>
      <w:pPr>
        <w:pStyle w:val="8"/>
        <w:spacing w:before="0" w:beforeAutospacing="0" w:after="0" w:afterAutospacing="0" w:line="360" w:lineRule="auto"/>
        <w:ind w:firstLine="482" w:firstLineChars="200"/>
        <w:rPr>
          <w:rFonts w:ascii="仿宋" w:hAnsi="仿宋" w:eastAsia="仿宋" w:cs="仿宋"/>
          <w:b/>
          <w:bCs/>
          <w:kern w:val="2"/>
          <w:szCs w:val="22"/>
        </w:rPr>
      </w:pPr>
      <w:r>
        <w:rPr>
          <w:rFonts w:hint="eastAsia" w:ascii="仿宋" w:hAnsi="仿宋" w:eastAsia="仿宋" w:cs="仿宋"/>
          <w:b/>
          <w:bCs/>
          <w:kern w:val="2"/>
          <w:szCs w:val="22"/>
        </w:rPr>
        <w:t>薪资组成：基本工资+各项福利</w:t>
      </w:r>
    </w:p>
    <w:p>
      <w:pPr>
        <w:pStyle w:val="8"/>
        <w:spacing w:before="0" w:beforeAutospacing="0" w:after="0" w:afterAutospacing="0" w:line="360" w:lineRule="auto"/>
        <w:ind w:firstLine="482" w:firstLineChars="200"/>
        <w:rPr>
          <w:rFonts w:ascii="仿宋" w:hAnsi="仿宋" w:eastAsia="仿宋" w:cs="仿宋"/>
          <w:b/>
          <w:bCs/>
          <w:kern w:val="2"/>
          <w:szCs w:val="22"/>
        </w:rPr>
      </w:pPr>
      <w:r>
        <w:rPr>
          <w:rFonts w:hint="eastAsia" w:ascii="仿宋" w:hAnsi="仿宋" w:eastAsia="仿宋" w:cs="仿宋"/>
          <w:b/>
          <w:bCs/>
          <w:kern w:val="2"/>
          <w:szCs w:val="22"/>
        </w:rPr>
        <w:t>本科：6</w:t>
      </w:r>
      <w:r>
        <w:rPr>
          <w:rFonts w:hint="eastAsia" w:ascii="仿宋" w:hAnsi="仿宋" w:eastAsia="仿宋" w:cs="仿宋"/>
          <w:b/>
          <w:bCs/>
          <w:kern w:val="2"/>
          <w:szCs w:val="22"/>
          <w:lang w:val="en-US" w:eastAsia="zh-CN"/>
        </w:rPr>
        <w:t>K-8K</w:t>
      </w:r>
      <w:r>
        <w:rPr>
          <w:rFonts w:hint="eastAsia" w:ascii="仿宋" w:hAnsi="仿宋" w:eastAsia="仿宋" w:cs="仿宋"/>
          <w:b/>
          <w:bCs/>
          <w:kern w:val="2"/>
          <w:szCs w:val="22"/>
        </w:rPr>
        <w:t>/月；硕士：8</w:t>
      </w:r>
      <w:r>
        <w:rPr>
          <w:rFonts w:hint="eastAsia" w:ascii="仿宋" w:hAnsi="仿宋" w:eastAsia="仿宋" w:cs="仿宋"/>
          <w:b/>
          <w:bCs/>
          <w:kern w:val="2"/>
          <w:szCs w:val="22"/>
          <w:lang w:val="en-US" w:eastAsia="zh-CN"/>
        </w:rPr>
        <w:t>K-12</w:t>
      </w:r>
      <w:r>
        <w:rPr>
          <w:rFonts w:hint="eastAsia" w:ascii="仿宋" w:hAnsi="仿宋" w:eastAsia="仿宋" w:cs="仿宋"/>
          <w:b/>
          <w:bCs/>
          <w:kern w:val="2"/>
          <w:szCs w:val="22"/>
        </w:rPr>
        <w:t>K/月；博士：薪资面议</w:t>
      </w:r>
    </w:p>
    <w:p>
      <w:pPr>
        <w:pStyle w:val="8"/>
        <w:spacing w:before="0" w:beforeAutospacing="0" w:after="0" w:afterAutospacing="0" w:line="360" w:lineRule="auto"/>
        <w:ind w:firstLine="482" w:firstLineChars="200"/>
        <w:rPr>
          <w:rFonts w:ascii="仿宋" w:hAnsi="仿宋" w:eastAsia="仿宋" w:cs="仿宋"/>
          <w:b/>
          <w:bCs/>
          <w:kern w:val="2"/>
          <w:szCs w:val="22"/>
        </w:rPr>
      </w:pPr>
      <w:r>
        <w:rPr>
          <w:rFonts w:hint="eastAsia" w:ascii="仿宋" w:hAnsi="仿宋" w:eastAsia="仿宋" w:cs="仿宋"/>
          <w:b/>
          <w:bCs/>
          <w:kern w:val="2"/>
          <w:szCs w:val="22"/>
        </w:rPr>
        <w:t xml:space="preserve">各项福利：五险一金、提供住宿/房补1000元/月、工作日早午餐、下午茶、休闲零食、节假日福利、团建活动、上下班班车、探亲路费报销、职业生涯规划、技能培训等。  </w:t>
      </w:r>
    </w:p>
    <w:p>
      <w:pPr>
        <w:pStyle w:val="5"/>
        <w:spacing w:before="0" w:after="0"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（三）人事管理</w:t>
      </w:r>
    </w:p>
    <w:p>
      <w:pPr>
        <w:pStyle w:val="8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录取后签订三方协议，入职后签订劳动合同。</w:t>
      </w:r>
    </w:p>
    <w:p>
      <w:pPr>
        <w:pStyle w:val="8"/>
        <w:spacing w:before="0" w:beforeAutospacing="0" w:after="0" w:afterAutospacing="0" w:line="360" w:lineRule="auto"/>
        <w:ind w:left="420" w:leftChars="200"/>
        <w:rPr>
          <w:rFonts w:ascii="仿宋" w:hAnsi="仿宋" w:eastAsia="仿宋" w:cs="仿宋"/>
          <w:b/>
          <w:bCs/>
          <w:kern w:val="2"/>
          <w:szCs w:val="22"/>
        </w:rPr>
      </w:pPr>
      <w:r>
        <w:rPr>
          <w:rFonts w:hint="eastAsia" w:ascii="仿宋" w:hAnsi="仿宋" w:eastAsia="仿宋" w:cs="仿宋"/>
          <w:b/>
          <w:bCs/>
          <w:kern w:val="2"/>
          <w:szCs w:val="22"/>
        </w:rPr>
        <w:t>公司为大四学生提供毕业前实习机会并开具实习证明！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二、招聘安排</w:t>
      </w:r>
    </w:p>
    <w:p>
      <w:pPr>
        <w:spacing w:line="360" w:lineRule="auto"/>
        <w:ind w:firstLine="521"/>
      </w:pPr>
      <w:r>
        <w:rPr>
          <w:rFonts w:hint="eastAsia" w:ascii="仿宋" w:hAnsi="仿宋" w:eastAsia="仿宋" w:cs="仿宋"/>
          <w:sz w:val="24"/>
        </w:rPr>
        <w:t>简历投递—简历筛选—初面—复试—终面—发放offer—签订三方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应聘要求</w:t>
      </w:r>
    </w:p>
    <w:p>
      <w:pPr>
        <w:pStyle w:val="2"/>
        <w:spacing w:line="360" w:lineRule="auto"/>
        <w:ind w:firstLine="480" w:firstLineChars="20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务必将个人简历按要求进行备注后的填写并于邮箱投递。</w:t>
      </w:r>
      <w:r>
        <w:rPr>
          <w:rFonts w:hint="eastAsia" w:ascii="仿宋" w:hAnsi="仿宋" w:eastAsia="仿宋"/>
          <w:bCs/>
          <w:sz w:val="24"/>
          <w:szCs w:val="24"/>
        </w:rPr>
        <w:t>以“学校+院系+姓名+应聘岗位”为简历备注名进行简历投递。例：**大学+法学院+张三+法务助理.doc</w:t>
      </w:r>
    </w:p>
    <w:p>
      <w:pPr>
        <w:pStyle w:val="2"/>
        <w:numPr>
          <w:ilvl w:val="0"/>
          <w:numId w:val="2"/>
        </w:num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咨询联系人</w:t>
      </w:r>
    </w:p>
    <w:tbl>
      <w:tblPr>
        <w:tblStyle w:val="12"/>
        <w:tblpPr w:leftFromText="180" w:rightFromText="180" w:vertAnchor="text" w:horzAnchor="page" w:tblpX="2279" w:tblpY="8"/>
        <w:tblOverlap w:val="never"/>
        <w:tblW w:w="79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0"/>
        <w:gridCol w:w="2572"/>
        <w:gridCol w:w="3907"/>
      </w:tblGrid>
      <w:tr>
        <w:trPr>
          <w:trHeight w:val="721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电话/微信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简历投递邮箱</w:t>
            </w:r>
          </w:p>
        </w:tc>
      </w:tr>
      <w:tr>
        <w:trPr>
          <w:trHeight w:val="721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张经理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15301379539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zhangwenlu@kinghey.com</w:t>
            </w:r>
          </w:p>
        </w:tc>
      </w:tr>
      <w:tr>
        <w:trPr>
          <w:trHeight w:val="721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HR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18846755380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wanyuxin12345@163.com</w:t>
            </w:r>
          </w:p>
        </w:tc>
      </w:tr>
      <w:tr>
        <w:trPr>
          <w:trHeight w:val="741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HR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耿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17777878112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gwx961104@kinghey.com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 xml:space="preserve">（三）网申通道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网申链接：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instrText xml:space="preserve"> HYPERLINK "http://2022.yingjiesheng.com/qxh/" </w:instrTex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http://2022.yingjiesheng.com/qxh/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1814830</wp:posOffset>
            </wp:positionH>
            <wp:positionV relativeFrom="page">
              <wp:posOffset>2176780</wp:posOffset>
            </wp:positionV>
            <wp:extent cx="1805305" cy="1751330"/>
            <wp:effectExtent l="0" t="0" r="23495" b="1270"/>
            <wp:wrapNone/>
            <wp:docPr id="4" name="图片 4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6668" t="7089" r="2173" b="6943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网申二维码：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 </w:t>
      </w:r>
      <w:bookmarkStart w:id="3" w:name="_GoBack"/>
      <w:bookmarkEnd w:id="3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righ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千喜鹤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人力资源中心</w:t>
      </w:r>
    </w:p>
    <w:p>
      <w:pPr>
        <w:spacing w:line="360" w:lineRule="auto"/>
        <w:ind w:right="281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二〇二一年十月十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1BDF69"/>
    <w:multiLevelType w:val="singleLevel"/>
    <w:tmpl w:val="961BDF69"/>
    <w:lvl w:ilvl="0" w:tentative="0">
      <w:start w:val="1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abstractNum w:abstractNumId="1">
    <w:nsid w:val="F84EFDE2"/>
    <w:multiLevelType w:val="singleLevel"/>
    <w:tmpl w:val="F84EFD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438A5"/>
    <w:rsid w:val="00014AA1"/>
    <w:rsid w:val="0001604D"/>
    <w:rsid w:val="00046C49"/>
    <w:rsid w:val="000526E7"/>
    <w:rsid w:val="00070915"/>
    <w:rsid w:val="000727C4"/>
    <w:rsid w:val="000875CD"/>
    <w:rsid w:val="000F1E18"/>
    <w:rsid w:val="00117A4F"/>
    <w:rsid w:val="00144A46"/>
    <w:rsid w:val="00162BBE"/>
    <w:rsid w:val="001771EF"/>
    <w:rsid w:val="001849C3"/>
    <w:rsid w:val="00190EE2"/>
    <w:rsid w:val="001B694D"/>
    <w:rsid w:val="001C0A54"/>
    <w:rsid w:val="001C57D3"/>
    <w:rsid w:val="00256903"/>
    <w:rsid w:val="0029384B"/>
    <w:rsid w:val="002B2242"/>
    <w:rsid w:val="002D0D4A"/>
    <w:rsid w:val="00331E82"/>
    <w:rsid w:val="00353612"/>
    <w:rsid w:val="0037521D"/>
    <w:rsid w:val="004254A2"/>
    <w:rsid w:val="0045350D"/>
    <w:rsid w:val="00456264"/>
    <w:rsid w:val="004C144E"/>
    <w:rsid w:val="004E6990"/>
    <w:rsid w:val="004F5B37"/>
    <w:rsid w:val="00570810"/>
    <w:rsid w:val="00601783"/>
    <w:rsid w:val="00652209"/>
    <w:rsid w:val="00682031"/>
    <w:rsid w:val="00696084"/>
    <w:rsid w:val="006A258F"/>
    <w:rsid w:val="006A4B99"/>
    <w:rsid w:val="006A54B9"/>
    <w:rsid w:val="006C3AB8"/>
    <w:rsid w:val="006C54C9"/>
    <w:rsid w:val="006C62F8"/>
    <w:rsid w:val="006F3443"/>
    <w:rsid w:val="00736C6F"/>
    <w:rsid w:val="00741694"/>
    <w:rsid w:val="007857BF"/>
    <w:rsid w:val="007B35E8"/>
    <w:rsid w:val="007C2047"/>
    <w:rsid w:val="007C5DE3"/>
    <w:rsid w:val="007D0E31"/>
    <w:rsid w:val="008050E1"/>
    <w:rsid w:val="00825F2E"/>
    <w:rsid w:val="00860C6B"/>
    <w:rsid w:val="00865B9D"/>
    <w:rsid w:val="008C0306"/>
    <w:rsid w:val="0092664B"/>
    <w:rsid w:val="00987ECC"/>
    <w:rsid w:val="009D2EBF"/>
    <w:rsid w:val="00A019BA"/>
    <w:rsid w:val="00A07CE9"/>
    <w:rsid w:val="00A11777"/>
    <w:rsid w:val="00A5239F"/>
    <w:rsid w:val="00A70343"/>
    <w:rsid w:val="00AC21D1"/>
    <w:rsid w:val="00AE2F46"/>
    <w:rsid w:val="00AF47B7"/>
    <w:rsid w:val="00B111C1"/>
    <w:rsid w:val="00B1419B"/>
    <w:rsid w:val="00B2486E"/>
    <w:rsid w:val="00B459B4"/>
    <w:rsid w:val="00B74D09"/>
    <w:rsid w:val="00B76DA9"/>
    <w:rsid w:val="00B9403F"/>
    <w:rsid w:val="00BC21EF"/>
    <w:rsid w:val="00BD0F58"/>
    <w:rsid w:val="00C0706B"/>
    <w:rsid w:val="00C67E7C"/>
    <w:rsid w:val="00C93D57"/>
    <w:rsid w:val="00D44828"/>
    <w:rsid w:val="00D57EBB"/>
    <w:rsid w:val="00D77BFA"/>
    <w:rsid w:val="00DA10EB"/>
    <w:rsid w:val="00DC3B2F"/>
    <w:rsid w:val="00DE26DF"/>
    <w:rsid w:val="00DF1A94"/>
    <w:rsid w:val="00E04F70"/>
    <w:rsid w:val="00E05ECA"/>
    <w:rsid w:val="00E23D04"/>
    <w:rsid w:val="00E27B36"/>
    <w:rsid w:val="00E35644"/>
    <w:rsid w:val="00E850E1"/>
    <w:rsid w:val="00E9546F"/>
    <w:rsid w:val="00E9701E"/>
    <w:rsid w:val="00EA1191"/>
    <w:rsid w:val="00F324BE"/>
    <w:rsid w:val="00F52C11"/>
    <w:rsid w:val="00F578E6"/>
    <w:rsid w:val="00F651F5"/>
    <w:rsid w:val="00F875A0"/>
    <w:rsid w:val="00F90330"/>
    <w:rsid w:val="00FA4741"/>
    <w:rsid w:val="00FC1054"/>
    <w:rsid w:val="00FE4A06"/>
    <w:rsid w:val="00FF6828"/>
    <w:rsid w:val="01EB470C"/>
    <w:rsid w:val="01ED162E"/>
    <w:rsid w:val="020F78D1"/>
    <w:rsid w:val="02B53143"/>
    <w:rsid w:val="03507718"/>
    <w:rsid w:val="036828F6"/>
    <w:rsid w:val="03C72819"/>
    <w:rsid w:val="04010775"/>
    <w:rsid w:val="04D105F0"/>
    <w:rsid w:val="07674C70"/>
    <w:rsid w:val="077818B3"/>
    <w:rsid w:val="0883574D"/>
    <w:rsid w:val="09843644"/>
    <w:rsid w:val="09BC0A30"/>
    <w:rsid w:val="09DF7791"/>
    <w:rsid w:val="0AA44193"/>
    <w:rsid w:val="0BAE0A0C"/>
    <w:rsid w:val="0BEE471E"/>
    <w:rsid w:val="0E4F5353"/>
    <w:rsid w:val="0F2C1CF8"/>
    <w:rsid w:val="0F3F4D40"/>
    <w:rsid w:val="0FFD0AAF"/>
    <w:rsid w:val="111B6319"/>
    <w:rsid w:val="11871BF6"/>
    <w:rsid w:val="12332946"/>
    <w:rsid w:val="13364E36"/>
    <w:rsid w:val="135D075D"/>
    <w:rsid w:val="13AF734C"/>
    <w:rsid w:val="13F06317"/>
    <w:rsid w:val="152E2791"/>
    <w:rsid w:val="167204A1"/>
    <w:rsid w:val="16C0112A"/>
    <w:rsid w:val="17F65706"/>
    <w:rsid w:val="19124752"/>
    <w:rsid w:val="1957490D"/>
    <w:rsid w:val="19A97F0A"/>
    <w:rsid w:val="1B7E46C4"/>
    <w:rsid w:val="1BED3C43"/>
    <w:rsid w:val="1C397F5B"/>
    <w:rsid w:val="1DB67F77"/>
    <w:rsid w:val="1E0A43B7"/>
    <w:rsid w:val="1E985FD1"/>
    <w:rsid w:val="1EC22C6F"/>
    <w:rsid w:val="1F16529C"/>
    <w:rsid w:val="20591F36"/>
    <w:rsid w:val="206A471E"/>
    <w:rsid w:val="215D59D3"/>
    <w:rsid w:val="21DA0904"/>
    <w:rsid w:val="2244236E"/>
    <w:rsid w:val="2287121E"/>
    <w:rsid w:val="244D0933"/>
    <w:rsid w:val="24A76094"/>
    <w:rsid w:val="259B006A"/>
    <w:rsid w:val="25B30AD4"/>
    <w:rsid w:val="25EA4CA5"/>
    <w:rsid w:val="2669140C"/>
    <w:rsid w:val="28427D37"/>
    <w:rsid w:val="29896CCE"/>
    <w:rsid w:val="2AE22CF7"/>
    <w:rsid w:val="2AF33868"/>
    <w:rsid w:val="2B75063B"/>
    <w:rsid w:val="2B762B4F"/>
    <w:rsid w:val="2D6FE7A1"/>
    <w:rsid w:val="2DAF624B"/>
    <w:rsid w:val="2DBC4602"/>
    <w:rsid w:val="2DCD5B7F"/>
    <w:rsid w:val="2DD3627E"/>
    <w:rsid w:val="2E242258"/>
    <w:rsid w:val="316130DF"/>
    <w:rsid w:val="31BC5ED7"/>
    <w:rsid w:val="324D278C"/>
    <w:rsid w:val="33133D39"/>
    <w:rsid w:val="33E11972"/>
    <w:rsid w:val="35802BF7"/>
    <w:rsid w:val="35852B52"/>
    <w:rsid w:val="35D30E81"/>
    <w:rsid w:val="35F438A5"/>
    <w:rsid w:val="367A6CAF"/>
    <w:rsid w:val="37455CCC"/>
    <w:rsid w:val="37F75563"/>
    <w:rsid w:val="394B74BA"/>
    <w:rsid w:val="39A005DE"/>
    <w:rsid w:val="39CE6387"/>
    <w:rsid w:val="3A5657CC"/>
    <w:rsid w:val="3BC5327C"/>
    <w:rsid w:val="3BD64284"/>
    <w:rsid w:val="3C913EAF"/>
    <w:rsid w:val="3D547A3E"/>
    <w:rsid w:val="3DF62450"/>
    <w:rsid w:val="3E0F7CDA"/>
    <w:rsid w:val="3E3369C1"/>
    <w:rsid w:val="3F465CAE"/>
    <w:rsid w:val="407D4EE4"/>
    <w:rsid w:val="41047CF7"/>
    <w:rsid w:val="417F3A5A"/>
    <w:rsid w:val="41A21D1E"/>
    <w:rsid w:val="41F63B78"/>
    <w:rsid w:val="42B4261F"/>
    <w:rsid w:val="43834252"/>
    <w:rsid w:val="438E2312"/>
    <w:rsid w:val="44447A7C"/>
    <w:rsid w:val="45766E0E"/>
    <w:rsid w:val="45914355"/>
    <w:rsid w:val="45EC5933"/>
    <w:rsid w:val="46300B3D"/>
    <w:rsid w:val="4723192C"/>
    <w:rsid w:val="477A0EE0"/>
    <w:rsid w:val="47FB3902"/>
    <w:rsid w:val="48B105B5"/>
    <w:rsid w:val="48EC4248"/>
    <w:rsid w:val="49AD1271"/>
    <w:rsid w:val="49BA759E"/>
    <w:rsid w:val="49ED775B"/>
    <w:rsid w:val="4A271B83"/>
    <w:rsid w:val="4AA34C6D"/>
    <w:rsid w:val="4B815EB6"/>
    <w:rsid w:val="4B823DAE"/>
    <w:rsid w:val="4C8A1249"/>
    <w:rsid w:val="4D181538"/>
    <w:rsid w:val="4EE51828"/>
    <w:rsid w:val="4EE61AA9"/>
    <w:rsid w:val="4F157ED6"/>
    <w:rsid w:val="4FA42C00"/>
    <w:rsid w:val="4FB124C8"/>
    <w:rsid w:val="4FD46945"/>
    <w:rsid w:val="4FE032A6"/>
    <w:rsid w:val="50CD6738"/>
    <w:rsid w:val="52E968D1"/>
    <w:rsid w:val="530C2B22"/>
    <w:rsid w:val="546F2299"/>
    <w:rsid w:val="54D11560"/>
    <w:rsid w:val="54E308ED"/>
    <w:rsid w:val="55052D79"/>
    <w:rsid w:val="5525295E"/>
    <w:rsid w:val="557A539F"/>
    <w:rsid w:val="56DD76F5"/>
    <w:rsid w:val="57150B19"/>
    <w:rsid w:val="57EE2359"/>
    <w:rsid w:val="57EE3C56"/>
    <w:rsid w:val="599213BE"/>
    <w:rsid w:val="59BD32AB"/>
    <w:rsid w:val="59C66E47"/>
    <w:rsid w:val="5AF575B7"/>
    <w:rsid w:val="5CCB7FCB"/>
    <w:rsid w:val="5D45691F"/>
    <w:rsid w:val="5DAE6733"/>
    <w:rsid w:val="5DC9035E"/>
    <w:rsid w:val="5EB477B1"/>
    <w:rsid w:val="5FA160B6"/>
    <w:rsid w:val="5FEF600E"/>
    <w:rsid w:val="60856E5E"/>
    <w:rsid w:val="608860F1"/>
    <w:rsid w:val="60AB44FF"/>
    <w:rsid w:val="60CB0594"/>
    <w:rsid w:val="611E524D"/>
    <w:rsid w:val="61332490"/>
    <w:rsid w:val="61366467"/>
    <w:rsid w:val="61AD0D77"/>
    <w:rsid w:val="6228048B"/>
    <w:rsid w:val="6262027D"/>
    <w:rsid w:val="637B0F3A"/>
    <w:rsid w:val="63E17430"/>
    <w:rsid w:val="640369AF"/>
    <w:rsid w:val="640B2879"/>
    <w:rsid w:val="6577707D"/>
    <w:rsid w:val="65AF0FE3"/>
    <w:rsid w:val="65CA1D67"/>
    <w:rsid w:val="66D8137C"/>
    <w:rsid w:val="68FB1066"/>
    <w:rsid w:val="69485CA4"/>
    <w:rsid w:val="6994638E"/>
    <w:rsid w:val="6997134B"/>
    <w:rsid w:val="69CB6BAF"/>
    <w:rsid w:val="6ADD79F3"/>
    <w:rsid w:val="6B725019"/>
    <w:rsid w:val="6B8E5891"/>
    <w:rsid w:val="6BC3202C"/>
    <w:rsid w:val="6BDF1B96"/>
    <w:rsid w:val="6CEB40A0"/>
    <w:rsid w:val="6CFB08A5"/>
    <w:rsid w:val="6D3641E1"/>
    <w:rsid w:val="6DB64A9D"/>
    <w:rsid w:val="6E713CB3"/>
    <w:rsid w:val="6F5A42AA"/>
    <w:rsid w:val="6F6BACAF"/>
    <w:rsid w:val="70512EA5"/>
    <w:rsid w:val="70644615"/>
    <w:rsid w:val="70870E6B"/>
    <w:rsid w:val="726D2327"/>
    <w:rsid w:val="73F55492"/>
    <w:rsid w:val="75813BA4"/>
    <w:rsid w:val="75D06FBC"/>
    <w:rsid w:val="76443387"/>
    <w:rsid w:val="76EC3DC4"/>
    <w:rsid w:val="77AF42C4"/>
    <w:rsid w:val="77C83043"/>
    <w:rsid w:val="77DB56DD"/>
    <w:rsid w:val="77FD306C"/>
    <w:rsid w:val="78FC16FC"/>
    <w:rsid w:val="79AC3475"/>
    <w:rsid w:val="7AA3484F"/>
    <w:rsid w:val="7B5D5617"/>
    <w:rsid w:val="7BE7103B"/>
    <w:rsid w:val="7C8519D7"/>
    <w:rsid w:val="7D604113"/>
    <w:rsid w:val="7DC57969"/>
    <w:rsid w:val="7E4F1D06"/>
    <w:rsid w:val="7E706EF6"/>
    <w:rsid w:val="7FEF4A79"/>
    <w:rsid w:val="8DFB2087"/>
    <w:rsid w:val="9D5241DF"/>
    <w:rsid w:val="DE6F0E45"/>
    <w:rsid w:val="E77E6435"/>
    <w:rsid w:val="EDEB2C8B"/>
    <w:rsid w:val="F5FD4037"/>
    <w:rsid w:val="F7FBC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表段落1"/>
    <w:basedOn w:val="1"/>
    <w:qFormat/>
    <w:uiPriority w:val="99"/>
    <w:pPr>
      <w:ind w:firstLine="420" w:firstLineChars="200"/>
    </w:pPr>
  </w:style>
  <w:style w:type="character" w:customStyle="1" w:styleId="15">
    <w:name w:val="font61"/>
    <w:basedOn w:val="9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16">
    <w:name w:val="font4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21"/>
    <w:basedOn w:val="9"/>
    <w:qFormat/>
    <w:uiPriority w:val="0"/>
    <w:rPr>
      <w:rFonts w:hint="eastAsia" w:ascii="仿宋" w:hAnsi="仿宋" w:eastAsia="仿宋" w:cs="仿宋"/>
      <w:b/>
      <w:color w:val="000000"/>
      <w:sz w:val="21"/>
      <w:szCs w:val="21"/>
      <w:u w:val="none"/>
    </w:rPr>
  </w:style>
  <w:style w:type="character" w:customStyle="1" w:styleId="18">
    <w:name w:val="未处理的提及1"/>
    <w:basedOn w:val="9"/>
    <w:unhideWhenUsed/>
    <w:qFormat/>
    <w:uiPriority w:val="99"/>
    <w:rPr>
      <w:color w:val="808080"/>
      <w:shd w:val="clear" w:color="auto" w:fill="E6E6E6"/>
    </w:rPr>
  </w:style>
  <w:style w:type="character" w:customStyle="1" w:styleId="19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未处理的提及2"/>
    <w:basedOn w:val="9"/>
    <w:unhideWhenUsed/>
    <w:qFormat/>
    <w:uiPriority w:val="99"/>
    <w:rPr>
      <w:color w:val="605E5C"/>
      <w:shd w:val="clear" w:color="auto" w:fill="E1DFDD"/>
    </w:rPr>
  </w:style>
  <w:style w:type="table" w:customStyle="1" w:styleId="23">
    <w:name w:val="Grid Table Light"/>
    <w:basedOn w:val="1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4">
    <w:name w:val="Plain Table 1"/>
    <w:basedOn w:val="1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5">
    <w:name w:val="Plain Table 2"/>
    <w:basedOn w:val="12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6">
    <w:name w:val="Plain Table 3"/>
    <w:basedOn w:val="12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7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8">
    <w:name w:val="Plain Table 5"/>
    <w:basedOn w:val="12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9">
    <w:name w:val="Grid Table 1 Light Accent 1"/>
    <w:basedOn w:val="12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0">
    <w:name w:val="Grid Table 6 Colorful"/>
    <w:basedOn w:val="12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2176</Words>
  <Characters>2394</Characters>
  <Lines>15</Lines>
  <Paragraphs>4</Paragraphs>
  <ScaleCrop>false</ScaleCrop>
  <LinksUpToDate>false</LinksUpToDate>
  <CharactersWithSpaces>2502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2020-10-22T14:14:00Z</dcterms:created>
  <dc:creator>东谷</dc:creator>
  <cp:lastModifiedBy>zhangwenlu</cp:lastModifiedBy>
  <cp:lastPrinted>2018-11-08T17:08:00Z</cp:lastPrinted>
  <dcterms:modified xsi:type="dcterms:W3CDTF">2021-11-03T16:28:09Z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1137B53249A342D2B8035C22E362833E</vt:lpwstr>
  </property>
</Properties>
</file>